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80" w:rsidRDefault="00F778DA" w:rsidP="00322977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                                                                                    </w:t>
      </w:r>
    </w:p>
    <w:p w:rsidR="00322977" w:rsidRDefault="00322977" w:rsidP="00322977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322977" w:rsidRDefault="00322977" w:rsidP="00322977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08"/>
        <w:gridCol w:w="6154"/>
      </w:tblGrid>
      <w:tr w:rsidR="00322977" w:rsidTr="00B71684">
        <w:trPr>
          <w:trHeight w:val="3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7" w:rsidRDefault="00322977" w:rsidP="00B71684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 (TTHK)</w:t>
            </w:r>
          </w:p>
        </w:tc>
      </w:tr>
      <w:tr w:rsidR="00322977" w:rsidTr="00B71684">
        <w:trPr>
          <w:trHeight w:val="4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7" w:rsidRDefault="00322977" w:rsidP="00B71684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867131" w:rsidP="00B71684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Väikelaste rõivaste</w:t>
            </w:r>
            <w:r w:rsidR="00322977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konstrueerimine ja valmistamise protsess</w:t>
            </w:r>
          </w:p>
        </w:tc>
      </w:tr>
      <w:tr w:rsidR="00322977" w:rsidTr="00B716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(täiendus- koolituse standardi järgi):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tabs>
                <w:tab w:val="left" w:leader="dot" w:pos="79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Tekstiili</w:t>
            </w:r>
            <w:r w:rsidR="00E577B1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, rõivaste, jalatsite valmistamine </w:t>
            </w:r>
            <w:r w:rsidR="00DF00E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ning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naha</w:t>
            </w:r>
            <w:r w:rsidR="00DF00EC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töötlemine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; Õppesuund: Tootmine ja töötlemine, ISCED 97 nr 542</w:t>
            </w:r>
          </w:p>
        </w:tc>
      </w:tr>
      <w:tr w:rsidR="00322977" w:rsidTr="00B716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 keel</w:t>
            </w:r>
          </w:p>
        </w:tc>
      </w:tr>
    </w:tbl>
    <w:p w:rsidR="00322977" w:rsidRDefault="00322977" w:rsidP="00322977">
      <w:pPr>
        <w:pStyle w:val="Loendilik"/>
        <w:widowControl w:val="0"/>
        <w:shd w:val="clear" w:color="auto" w:fill="FFFFFF"/>
        <w:spacing w:after="120" w:line="240" w:lineRule="auto"/>
        <w:ind w:left="714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22977" w:rsidRDefault="00322977" w:rsidP="00322977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322977" w:rsidTr="00B7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2977" w:rsidRPr="00BC75BB" w:rsidRDefault="00322977" w:rsidP="00B7168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5B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Sihtrühm ja selle kirjeldus ja õppe alustamise nõuded:</w:t>
            </w:r>
            <w:r w:rsidRPr="00BC75BB"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 xml:space="preserve"> (ära märkida nii milliste erialaoskuste, haridustaseme või vanusegrupi inimestele koolitus on mõeldud; kas ja millised on nõuded õpingute alustamiseks ning milline on optimaalne grupi suurus)</w:t>
            </w:r>
          </w:p>
          <w:p w:rsidR="00322977" w:rsidRDefault="00322977" w:rsidP="00132687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</w:t>
            </w: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õhi ja/või keskharidusega täiskasvanud, töötavad ja/või töötud, vanuses 17- 50 +, kes </w:t>
            </w:r>
            <w:r w:rsidR="0013268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omavad õmblusalaseid baasoskusi ning </w:t>
            </w: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soovivad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õmblusalast </w:t>
            </w:r>
            <w:r w:rsidR="0013268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täiend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koolitust tööle asumiseks ja </w:t>
            </w:r>
            <w:r w:rsidRPr="00BC75B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tööl püsimiseks konkurentsi võime tõstmiseks</w:t>
            </w:r>
            <w:r w:rsidRPr="00A0423C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Grupi suurus 12 osalejat</w:t>
            </w:r>
          </w:p>
          <w:p w:rsidR="00132687" w:rsidRPr="00132687" w:rsidRDefault="00132687" w:rsidP="00132687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68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Õppe alustamise nõuded: Õmbluserialaseid õpinguid tõendav dokument või erialaline töökogemus või tööturukoolituse „Õmbleja</w:t>
            </w:r>
            <w:r w:rsidRPr="00132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  <w:r w:rsidRPr="00132687">
              <w:rPr>
                <w:rFonts w:ascii="Times New Roman" w:eastAsia="Times New Roman" w:hAnsi="Times New Roman" w:cs="Times New Roman"/>
                <w:b w:val="0"/>
                <w:color w:val="000000"/>
                <w:spacing w:val="-9"/>
                <w:sz w:val="24"/>
                <w:szCs w:val="24"/>
              </w:rPr>
              <w:t xml:space="preserve">või täiendkoolituse </w:t>
            </w:r>
            <w:r w:rsidRPr="00132687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„Imikurõivaste  konstrueerimise ja valmistamise protsess“ </w:t>
            </w:r>
            <w:r w:rsidRPr="00132687">
              <w:rPr>
                <w:rFonts w:ascii="Times New Roman" w:eastAsia="Times New Roman" w:hAnsi="Times New Roman" w:cs="Times New Roman"/>
                <w:b w:val="0"/>
                <w:color w:val="000000"/>
                <w:spacing w:val="-9"/>
                <w:sz w:val="24"/>
                <w:szCs w:val="24"/>
              </w:rPr>
              <w:t>läbinud osalejad</w:t>
            </w:r>
          </w:p>
        </w:tc>
      </w:tr>
      <w:tr w:rsidR="00322977" w:rsidTr="00B7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322977" w:rsidRPr="00295526" w:rsidRDefault="00322977" w:rsidP="00B7168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</w:pPr>
            <w:r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Õpiväljundid: </w:t>
            </w:r>
            <w:r w:rsidRPr="00295526"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 xml:space="preserve">(e. õpitulemused, </w:t>
            </w:r>
            <w:r w:rsidRPr="00295526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95526"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>kirjeldatakse kompetentsidena, mis täpsustavad, millised teadmised, oskused ja hoiakud peab õppija omandama õppeprotsessi lõpuks)</w:t>
            </w:r>
          </w:p>
          <w:p w:rsidR="00322977" w:rsidRPr="00295526" w:rsidRDefault="00322977" w:rsidP="00B71684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083C6A">
              <w:rPr>
                <w:rFonts w:ascii="Times New Roman" w:hAnsi="Times New Roman" w:cs="Times New Roman"/>
                <w:iCs/>
                <w:sz w:val="24"/>
                <w:szCs w:val="24"/>
              </w:rPr>
              <w:t>Eesmärk:</w:t>
            </w:r>
            <w:r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õpetus</w:t>
            </w:r>
            <w:r w:rsidR="0086713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ega taotletakse, et õpilane omandab</w:t>
            </w:r>
            <w:r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õmblustööks ja </w:t>
            </w:r>
            <w:r w:rsidR="0086713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väikelaste rõivaste</w:t>
            </w:r>
            <w:r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konstrueerimiseks ja valmistamiseks vajalikud teadmised ja oskused töötamiseks </w:t>
            </w:r>
            <w:r w:rsidR="005364C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erinevate materjalide, </w:t>
            </w:r>
            <w:r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õmblusma</w:t>
            </w:r>
            <w:r w:rsidR="005364C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sinate</w:t>
            </w:r>
            <w:r w:rsidRPr="0029552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ni</w:t>
            </w:r>
            <w:r w:rsidR="005364C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ng kuumniisketöötlemise seadmetega</w:t>
            </w:r>
            <w:r w:rsidR="00867131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rõivaste valmistamise protsessis.</w:t>
            </w:r>
          </w:p>
          <w:p w:rsidR="00322977" w:rsidRPr="00295526" w:rsidRDefault="00322977" w:rsidP="00B71684">
            <w:pPr>
              <w:widowControl w:val="0"/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083C6A" w:rsidRDefault="00083C6A" w:rsidP="0064296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3C6A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Õpiväljundid: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083C6A" w:rsidRPr="00083C6A" w:rsidRDefault="00083C6A" w:rsidP="00083C6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</w:t>
            </w:r>
            <w:r w:rsidR="00322977"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mab ülevaadet tekstiilmaterjalidest ja nende sobivusest laste rõivaste </w:t>
            </w:r>
            <w:r w:rsidR="00642963"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(vanus 2-10 aastat)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valmistamiseks</w:t>
            </w:r>
          </w:p>
          <w:p w:rsidR="00083C6A" w:rsidRPr="00083C6A" w:rsidRDefault="00322977" w:rsidP="00083C6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korraldab töökoha tööohutuse nõue</w:t>
            </w:r>
            <w:r w:rsid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tele ja tööülesandele vastavalt</w:t>
            </w:r>
          </w:p>
          <w:p w:rsidR="00083C6A" w:rsidRPr="00083C6A" w:rsidRDefault="00322977" w:rsidP="00083C6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seab töökorda ja õmbleb </w:t>
            </w:r>
            <w:r w:rsidR="008B1360"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õmblusseadmetel</w:t>
            </w:r>
          </w:p>
          <w:p w:rsidR="00083C6A" w:rsidRPr="00083C6A" w:rsidRDefault="00322977" w:rsidP="00083C6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kon</w:t>
            </w:r>
            <w:r w:rsid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strueerib lõiked ja modelleerib</w:t>
            </w:r>
          </w:p>
          <w:p w:rsidR="00083C6A" w:rsidRPr="00083C6A" w:rsidRDefault="00322977" w:rsidP="00083C6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mõistab t</w:t>
            </w:r>
            <w:r w:rsid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ehnoloogilist  dokumentatsiooni</w:t>
            </w:r>
          </w:p>
          <w:p w:rsidR="00083C6A" w:rsidRPr="00083C6A" w:rsidRDefault="00322977" w:rsidP="00083C6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C6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teab õmblemiseks vajalikke </w:t>
            </w:r>
            <w:r w:rsidR="00867131" w:rsidRPr="00083C6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rõiva</w:t>
            </w:r>
            <w:r w:rsidRPr="00083C6A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detaile, lõigete, paigutamise ning juurdelõikamise põhimõtteid;  õmblustehnoloogiat</w:t>
            </w:r>
          </w:p>
          <w:p w:rsidR="00322977" w:rsidRPr="00083C6A" w:rsidRDefault="00322977" w:rsidP="00083C6A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C6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hindab oma töö kvaliteeti ning analüüsib töötulemuse parendamise võimalusi</w:t>
            </w:r>
            <w:r w:rsidR="00867131" w:rsidRPr="00083C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2977" w:rsidTr="00642963">
        <w:trPr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2977" w:rsidRPr="00AF3A3E" w:rsidRDefault="00322977" w:rsidP="008B13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22977" w:rsidTr="00B7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:rsidR="00322977" w:rsidRPr="00083C6A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83C6A"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>Õpiväljundite seos kutsestandardi või tasemeõppe õppekavaga: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(</w:t>
            </w:r>
            <w:r w:rsidRPr="00083C6A">
              <w:rPr>
                <w:rFonts w:ascii="Times New Roman" w:eastAsia="Times New Roman" w:hAnsi="Times New Roman" w:cs="Times New Roman"/>
                <w:b w:val="0"/>
                <w:i/>
                <w:iCs/>
                <w:sz w:val="24"/>
                <w:szCs w:val="24"/>
              </w:rPr>
              <w:t>tuua ära vastav kutsestandard ning viide konkreetsetele kompetentsidele, mida koolitusega saavutatakse)</w:t>
            </w:r>
          </w:p>
          <w:p w:rsidR="00322977" w:rsidRPr="00AD4FAB" w:rsidRDefault="00322977" w:rsidP="00AD4F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D4F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Täiendkoolituse õppekava on koostatud kooli õppekavade: kergete rõivaste rätsepa</w:t>
            </w:r>
            <w:r w:rsidR="00867131" w:rsidRPr="00AD4F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õppekava </w:t>
            </w:r>
            <w:r w:rsidRPr="00AD4F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põ</w:t>
            </w:r>
            <w:r w:rsidR="00AD4F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hiõpinguid toetava valikõpingu</w:t>
            </w:r>
            <w:r w:rsidRPr="00AD4F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õppemoodulite ning kutsestandardi </w:t>
            </w:r>
            <w:r w:rsidR="00AD4FAB" w:rsidRPr="00AD4F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Kergete rõivaste rätsep</w:t>
            </w:r>
            <w:r w:rsidRPr="00AD4F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tase 4 alusel.</w:t>
            </w:r>
          </w:p>
          <w:p w:rsidR="00AD4FAB" w:rsidRDefault="00AD4FAB" w:rsidP="00AD4F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Kergete rõivaste rätsep tase 4 kompetentsid:</w:t>
            </w:r>
          </w:p>
          <w:p w:rsidR="00AD4FAB" w:rsidRPr="006A2D4B" w:rsidRDefault="00AD4FAB" w:rsidP="00AD4F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A2D4B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A.2 Tööosad</w:t>
            </w:r>
          </w:p>
          <w:p w:rsidR="006A2D4B" w:rsidRPr="006A2D4B" w:rsidRDefault="00867131" w:rsidP="006A2D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A.2.2 Konstrueerimine ja juurdelõikus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1. Rõiva tehnoloogiline kavandamine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2. Lõigete konstrueerimine ja modelleerimine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3. Juurdelõikus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A.2.3 Rõiva õmblemine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1. Detailide ettevalmistamine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2. Detailide ja tehnoloogiliste sõlmede ühendamine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3. Rõiva proovid ja prooviparanduste märkimine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4. Rõiva lõppõmblemine</w:t>
            </w:r>
            <w:r w:rsidR="00AD4FAB" w:rsidRPr="006A2D4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(töövahendite, seadmete, masinate käsitsemine)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A.2.4 Lõppviimistlemine ja pakkimine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1. Triikimine ja kuumniiske töötlemine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2. Toote kvaliteedikontroll</w:t>
            </w:r>
          </w:p>
          <w:p w:rsidR="006A2D4B" w:rsidRPr="00083C6A" w:rsidRDefault="00867131" w:rsidP="006A2D4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="006A2D4B" w:rsidRPr="00083C6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Läbivad kompetentsid (teadmised ja tegevusnäitajad):</w:t>
            </w:r>
          </w:p>
          <w:p w:rsidR="00322977" w:rsidRDefault="006A2D4B" w:rsidP="005364CF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="00AD4FAB"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kasutab efektiivseid, ergonoomilisi ja ohutuid töövõtteid, siirdub kiirelt ja suju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valt ühelt tegevuselt teisele;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2</w:t>
            </w:r>
            <w:r w:rsidR="00AD4FAB"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järgib säästva 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materjalikasutuse põhimõtteid;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3</w:t>
            </w:r>
            <w:r w:rsidR="00AD4FAB"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tegutseb vastutustundlikult ja eesmärgipäraselt, võttes oma tegevuses arvesse töötervishoiu, keskkon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nahoiu ja</w:t>
            </w:r>
            <w:r w:rsidR="005364C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tööohutuse reegleid;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4</w:t>
            </w:r>
            <w:r w:rsidR="00AD4FAB"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arvestab tarbijakaitsega seotud aspektidega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5364C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sh 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lastetoodete</w:t>
            </w:r>
            <w:r w:rsidR="005364C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ga seonduvate ohutusnõuetega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  <w:r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  <w:t>5</w:t>
            </w:r>
            <w:r w:rsidR="00AD4FAB"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orienteerub õmblusalases terminoloogias, dokumentatsioonis ja leppemärkides;</w:t>
            </w:r>
            <w:r w:rsidR="00AD4FAB" w:rsidRPr="006A2D4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6A2D4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kasutab erinevaid tehnoloogilisi võimalusi, uusi meetodeid ning arendab oma tööalaseid teadmisi läbi </w:t>
            </w:r>
            <w:r w:rsidR="005364C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praktiliste tööde ja täiendõppe.</w:t>
            </w:r>
            <w:r w:rsidR="0032297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642963" w:rsidRDefault="00642963" w:rsidP="00642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963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Põhjendus: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 w:val="0"/>
                <w:i/>
                <w:sz w:val="24"/>
                <w:szCs w:val="24"/>
              </w:rPr>
              <w:t xml:space="preserve">koolituse sihtrühma ja õpiväljundite 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z w:val="24"/>
                <w:szCs w:val="24"/>
              </w:rPr>
              <w:t>valiku osas</w:t>
            </w: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)</w:t>
            </w:r>
          </w:p>
          <w:p w:rsidR="00642963" w:rsidRPr="009D1325" w:rsidRDefault="00642963" w:rsidP="0064296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D14D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Õpib ja omandab õmblustöös kasutatavaid töövõtteid ja tehnoloogiaid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mõistab uut informatsiooni, arendab tööalaseid teadmisi ja oskusi läbi praktiliste tööde. </w:t>
            </w: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Täiendkoolitusel osal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eja  rakendab teadmisi ning</w:t>
            </w: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oskusi väljundipõ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hiselt oma edaspidises töös õmblusettevõtetes.</w:t>
            </w:r>
          </w:p>
        </w:tc>
      </w:tr>
    </w:tbl>
    <w:p w:rsidR="00322977" w:rsidRDefault="00322977" w:rsidP="0032297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322977" w:rsidRDefault="00322977" w:rsidP="0032297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322977" w:rsidRDefault="00322977" w:rsidP="00322977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322977" w:rsidTr="00B716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90</w:t>
            </w:r>
          </w:p>
        </w:tc>
      </w:tr>
      <w:tr w:rsidR="00322977" w:rsidTr="00B716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322977" w:rsidTr="00B71684">
        <w:trPr>
          <w:trHeight w:val="64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20</w:t>
            </w:r>
          </w:p>
        </w:tc>
      </w:tr>
      <w:tr w:rsidR="00322977" w:rsidTr="00B71684">
        <w:trPr>
          <w:trHeight w:val="43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lastRenderedPageBreak/>
              <w:t>70</w:t>
            </w:r>
          </w:p>
        </w:tc>
      </w:tr>
      <w:tr w:rsidR="00322977" w:rsidTr="00B71684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Koolitaja poolt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 iseseisva töö maht akadeemilistes tundides: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77" w:rsidRDefault="00322977" w:rsidP="00B71684">
            <w:pPr>
              <w:widowControl w:val="0"/>
              <w:shd w:val="clear" w:color="auto" w:fill="FFFFFF"/>
              <w:spacing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</w:t>
            </w:r>
          </w:p>
        </w:tc>
      </w:tr>
    </w:tbl>
    <w:p w:rsidR="00322977" w:rsidRDefault="00322977" w:rsidP="0032297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322977" w:rsidRDefault="00322977" w:rsidP="00322977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322977" w:rsidRDefault="00322977" w:rsidP="00322977">
      <w:pPr>
        <w:pStyle w:val="Loendilik"/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 ja lõpetamise nõuded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322977" w:rsidTr="00B716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D2C7E"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  <w:t>Õppe sisu: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  <w:spacing w:val="-1"/>
                <w:sz w:val="24"/>
                <w:szCs w:val="24"/>
              </w:rPr>
              <w:t>(peamised teemad ja alateemad)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Auditoorsete tööde teemad: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Õmblustehnoloogia alused: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Tekstiilmaterjalide liigitus ja omadused. </w:t>
            </w:r>
            <w:r w:rsidR="006A2D4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Väikelaste rõivaste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valmistamiseks sobilikud materjalid, niidid, furnituur. Õmblusseadmete liigitus ja kasutusvõimalused. </w:t>
            </w:r>
            <w:r w:rsidR="00292AF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Erinevate õ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mblusmasinate niidistamine, piste reguleerimine. Kuumniiske töötlemise seadmed. Ohutusnõud</w:t>
            </w:r>
            <w:r w:rsidR="006A2D4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ed õmblustöös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. Õmbluste lii</w:t>
            </w:r>
            <w:r w:rsidR="00830A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gid, leppemärgid.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Kvaliteedinõuded õmblustele, </w:t>
            </w:r>
            <w:r w:rsidR="00292AF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laste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toodetele.</w:t>
            </w:r>
            <w:r w:rsidR="007E0C1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Lastetoodete ohutusnõuded.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Konstrueerimise alused: </w:t>
            </w:r>
          </w:p>
          <w:p w:rsidR="00322977" w:rsidRDefault="00830AAB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Väikelaste rõivaste suurused ja mõõdud/tabelid. Konstruktsioonid</w:t>
            </w:r>
            <w:r w:rsidR="0032297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, mõõdud, avaruslisad, </w:t>
            </w:r>
            <w:r w:rsidR="00322977" w:rsidRPr="0063099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põhilõige konstrueerimine (M 1:1).</w:t>
            </w:r>
            <w:r w:rsidR="0032297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Lõigete kangale paigutamise ja juurdelõikamise põhimõtted   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Praktiliste tööde lühikirjeldused: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Erinevate </w:t>
            </w:r>
            <w:r w:rsidR="00830AAB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>väikelaste rõivaste konstrueerimine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juurdelõikus, õmblemine,  viimistlemine. 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  <w:p w:rsidR="00322977" w:rsidRPr="00576079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</w:pPr>
            <w:r w:rsidRPr="00576079"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  <w:t>Õppematerjalid:</w:t>
            </w:r>
          </w:p>
          <w:p w:rsidR="00322977" w:rsidRPr="00F32253" w:rsidRDefault="00322977" w:rsidP="00B7168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Metric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Pattern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Cutting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Children's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Wear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and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Babywear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- </w:t>
            </w:r>
            <w:hyperlink r:id="rId8" w:history="1">
              <w:proofErr w:type="spellStart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>Winifred</w:t>
              </w:r>
              <w:proofErr w:type="spellEnd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F32253">
                <w:rPr>
                  <w:rStyle w:val="Hperlink"/>
                  <w:rFonts w:ascii="Times New Roman" w:hAnsi="Times New Roman"/>
                  <w:b w:val="0"/>
                  <w:color w:val="0000FF"/>
                  <w:sz w:val="24"/>
                  <w:szCs w:val="24"/>
                </w:rPr>
                <w:t>Aldrich</w:t>
              </w:r>
              <w:proofErr w:type="spellEnd"/>
            </w:hyperlink>
            <w:r w:rsidRPr="00F32253">
              <w:rPr>
                <w:rFonts w:ascii="Times New Roman" w:hAnsi="Times New Roman"/>
                <w:b w:val="0"/>
                <w:sz w:val="24"/>
                <w:szCs w:val="24"/>
              </w:rPr>
              <w:t xml:space="preserve"> 2009</w:t>
            </w:r>
          </w:p>
          <w:p w:rsidR="00322977" w:rsidRPr="00F32253" w:rsidRDefault="00322977" w:rsidP="00B7168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</w:pP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Making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Children's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Clothes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: 25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step-by-step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sewing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projects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0-5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years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including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full-size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paper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patterns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– Emma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Hardy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 2009</w:t>
            </w:r>
          </w:p>
          <w:p w:rsidR="00322977" w:rsidRDefault="00322977" w:rsidP="00B71684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</w:pP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Cute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Clothes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Kids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: 24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projects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for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0-5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year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olds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–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Rob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>Merrett</w:t>
            </w:r>
            <w:proofErr w:type="spellEnd"/>
            <w:r w:rsidRPr="00F32253">
              <w:rPr>
                <w:rFonts w:ascii="Times New Roman" w:hAnsi="Times New Roman"/>
                <w:b w:val="0"/>
                <w:sz w:val="24"/>
                <w:szCs w:val="24"/>
                <w:lang w:eastAsia="et-EE"/>
              </w:rPr>
              <w:t xml:space="preserve"> 2011</w:t>
            </w:r>
          </w:p>
          <w:p w:rsidR="00603C0E" w:rsidRPr="00603C0E" w:rsidRDefault="00603C0E" w:rsidP="00B7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  <w:p w:rsidR="00603C0E" w:rsidRPr="00365169" w:rsidRDefault="00603C0E" w:rsidP="00603C0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57607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Õppekeskkonna lühikirjeldus</w:t>
            </w:r>
            <w:r w:rsidRPr="00365169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:</w:t>
            </w:r>
          </w:p>
          <w:p w:rsidR="004A5DA3" w:rsidRPr="004A5DA3" w:rsidRDefault="004A5DA3" w:rsidP="004A5DA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Auditoorse töö läbimisel on </w:t>
            </w:r>
            <w:r w:rsidR="006A3BB3">
              <w:rPr>
                <w:rFonts w:ascii="Times New Roman" w:hAnsi="Times New Roman"/>
                <w:b w:val="0"/>
                <w:sz w:val="24"/>
                <w:szCs w:val="24"/>
              </w:rPr>
              <w:t xml:space="preserve">kasutada arvuti, </w:t>
            </w:r>
            <w:proofErr w:type="spellStart"/>
            <w:r w:rsidR="006A3BB3">
              <w:rPr>
                <w:rFonts w:ascii="Times New Roman" w:hAnsi="Times New Roman"/>
                <w:b w:val="0"/>
                <w:sz w:val="24"/>
                <w:szCs w:val="24"/>
              </w:rPr>
              <w:t>dataprojektor</w:t>
            </w:r>
            <w:proofErr w:type="spellEnd"/>
            <w:r w:rsidR="006A3BB3">
              <w:rPr>
                <w:rFonts w:ascii="Times New Roman" w:hAnsi="Times New Roman"/>
                <w:b w:val="0"/>
                <w:sz w:val="24"/>
                <w:szCs w:val="24"/>
              </w:rPr>
              <w:t xml:space="preserve"> ja dokumendikaamera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6A3BB3">
              <w:rPr>
                <w:rFonts w:ascii="Times New Roman" w:hAnsi="Times New Roman"/>
                <w:b w:val="0"/>
                <w:sz w:val="24"/>
                <w:szCs w:val="24"/>
              </w:rPr>
              <w:t xml:space="preserve">õppematerjalid, </w:t>
            </w:r>
            <w:r w:rsidRPr="004A5DA3">
              <w:rPr>
                <w:rFonts w:ascii="Times New Roman" w:hAnsi="Times New Roman"/>
                <w:b w:val="0"/>
                <w:sz w:val="24"/>
                <w:szCs w:val="24"/>
              </w:rPr>
              <w:t>erialalisi joonestusvahendeid (mõõtjoonlauad, lekaalid jm)</w:t>
            </w:r>
          </w:p>
          <w:p w:rsidR="004A5DA3" w:rsidRPr="004A5DA3" w:rsidRDefault="008B1360" w:rsidP="004A5DA3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Praktika töökoda</w:t>
            </w:r>
            <w:r w:rsidR="004A5DA3"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 on 180m²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mis on</w:t>
            </w:r>
            <w:r w:rsidR="004A5DA3"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 sisustaud õppetööks vajaliku sisustuse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seadmetega</w:t>
            </w:r>
            <w:r w:rsidR="004A5DA3" w:rsidRPr="004A5DA3">
              <w:rPr>
                <w:rFonts w:ascii="Times New Roman" w:hAnsi="Times New Roman"/>
                <w:b w:val="0"/>
                <w:sz w:val="24"/>
                <w:szCs w:val="24"/>
              </w:rPr>
              <w:t xml:space="preserve"> ja õppevahenditega. Igal õpilasel on individuaalne töökoht ning kasutada õppetööks vajalikud õmblus- ja kuumniiske töötluse seadmed ning abi- ja töövahendid (lõikepaber, mõõdulint, käärid, lekaalid, proovikangad jm)</w:t>
            </w:r>
          </w:p>
          <w:p w:rsidR="00322977" w:rsidRPr="009D1325" w:rsidRDefault="00322977" w:rsidP="004A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</w:pPr>
          </w:p>
        </w:tc>
      </w:tr>
      <w:tr w:rsidR="00322977" w:rsidTr="00B7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2977" w:rsidRPr="003D2C7E" w:rsidRDefault="00322977" w:rsidP="00B7168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D2C7E">
              <w:rPr>
                <w:rFonts w:ascii="Times New Roman" w:eastAsia="Times New Roman" w:hAnsi="Times New Roman" w:cs="Times New Roman"/>
                <w:bCs w:val="0"/>
                <w:color w:val="000000"/>
                <w:spacing w:val="-1"/>
                <w:sz w:val="24"/>
                <w:szCs w:val="24"/>
              </w:rPr>
              <w:t>Nõuded õppe lõpetamiseks, sh hindamismeetodid ja -kriteeriumid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3D2C7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(nõutav õpiväljundite saavutamise hindamine ja vähemalt 80% õppekava läbimine)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Vähemalt </w:t>
            </w:r>
            <w:r w:rsidR="008B1360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7</w:t>
            </w: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0% õppekava läbimine, Õpiväljundite omandamist hinnatakse mitteeristavalt kursusel valminud õpimapi koostamise ja esitlemise alusel</w:t>
            </w:r>
          </w:p>
          <w:p w:rsidR="00322977" w:rsidRPr="00AF3A3E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AF3A3E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Õpimapi osad: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Materjalide, abimaterjalide näidised, hooldusnõuded</w:t>
            </w:r>
          </w:p>
          <w:p w:rsidR="008B1360" w:rsidRDefault="008B1360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Mõõtude tabelid ja tehnoloogiline järjestus</w:t>
            </w:r>
          </w:p>
          <w:p w:rsidR="00322977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Konstrueeritud </w:t>
            </w:r>
            <w:r w:rsidRPr="0088711D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lõiked (M 1:1)</w:t>
            </w:r>
          </w:p>
          <w:p w:rsidR="00322977" w:rsidRPr="0088711D" w:rsidRDefault="00322977" w:rsidP="00B7168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Valminud proovi</w:t>
            </w:r>
            <w:r w:rsidRPr="0088711D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>tooted</w:t>
            </w:r>
            <w:r w:rsidR="008B1360"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  <w:t xml:space="preserve"> (pluus, kleit, püksid)</w:t>
            </w:r>
          </w:p>
        </w:tc>
      </w:tr>
    </w:tbl>
    <w:p w:rsidR="00322977" w:rsidRDefault="00322977" w:rsidP="00322977">
      <w:pPr>
        <w:pStyle w:val="Loendilik"/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Koolitaja andmed</w:t>
      </w:r>
    </w:p>
    <w:tbl>
      <w:tblPr>
        <w:tblStyle w:val="Tavatabel21"/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322977" w:rsidTr="0008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8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2977" w:rsidRDefault="00322977" w:rsidP="00B71684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3D2C7E">
              <w:rPr>
                <w:rFonts w:ascii="Times New Roman" w:eastAsia="Times New Roman" w:hAnsi="Times New Roman" w:cs="Times New Roman"/>
                <w:bCs w:val="0"/>
                <w:spacing w:val="-1"/>
                <w:sz w:val="24"/>
                <w:szCs w:val="24"/>
              </w:rPr>
              <w:t>Koolitaja andmed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pacing w:val="-1"/>
                <w:sz w:val="24"/>
                <w:szCs w:val="24"/>
              </w:rPr>
              <w:t xml:space="preserve"> </w:t>
            </w:r>
            <w:r w:rsidRPr="003D2C7E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pacing w:val="-1"/>
                <w:sz w:val="24"/>
                <w:szCs w:val="24"/>
              </w:rPr>
              <w:t>(ees- ja perenimi, e-mail; kursuse läbiviimiseks vajalikku kompetentsust näitav kvalifikatsioon või kompetentsi näitava õpi- või töökogemuse kirjeldus)</w:t>
            </w:r>
          </w:p>
          <w:p w:rsidR="00365169" w:rsidRPr="00365169" w:rsidRDefault="00322977" w:rsidP="00292AF9">
            <w:pPr>
              <w:spacing w:after="0" w:line="240" w:lineRule="auto"/>
              <w:rPr>
                <w:rFonts w:ascii="Times New Roman" w:hAnsi="Times New Roman" w:cs="Times New Roman"/>
                <w:b w:val="0"/>
              </w:rPr>
            </w:pPr>
            <w:r w:rsidRPr="001E2CE1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Anne-Ly Treial 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–</w:t>
            </w:r>
            <w:r w:rsidRPr="001E2CE1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365169" w:rsidRPr="00365169">
              <w:rPr>
                <w:rFonts w:ascii="Times New Roman" w:hAnsi="Times New Roman" w:cs="Times New Roman"/>
                <w:b w:val="0"/>
              </w:rPr>
              <w:t xml:space="preserve">1993 Tallinna Vanalinna Õmbluskool (4. Kutsekool). Naiste </w:t>
            </w:r>
            <w:proofErr w:type="spellStart"/>
            <w:r w:rsidR="00365169" w:rsidRPr="00365169">
              <w:rPr>
                <w:rFonts w:ascii="Times New Roman" w:hAnsi="Times New Roman" w:cs="Times New Roman"/>
                <w:b w:val="0"/>
              </w:rPr>
              <w:t>ülerõivaste</w:t>
            </w:r>
            <w:proofErr w:type="spellEnd"/>
            <w:r w:rsidR="00365169" w:rsidRPr="00365169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365169" w:rsidRPr="00365169">
              <w:rPr>
                <w:rFonts w:ascii="Times New Roman" w:hAnsi="Times New Roman" w:cs="Times New Roman"/>
                <w:b w:val="0"/>
              </w:rPr>
              <w:t>juurdelõikaja</w:t>
            </w:r>
            <w:proofErr w:type="spellEnd"/>
            <w:r w:rsidR="00365169" w:rsidRPr="00365169">
              <w:rPr>
                <w:rFonts w:ascii="Times New Roman" w:hAnsi="Times New Roman" w:cs="Times New Roman"/>
                <w:b w:val="0"/>
              </w:rPr>
              <w:t>;  2004-2007 Tallinna Tehnikakõrgkool. Rõivaala korraldus; TTHK kutseõpetaja alates 2010</w:t>
            </w:r>
          </w:p>
          <w:p w:rsidR="00322977" w:rsidRDefault="00322977" w:rsidP="00292AF9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Moonika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Ints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1951CC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1951CC">
              <w:rPr>
                <w:rFonts w:ascii="Times New Roman" w:eastAsia="Times New Roman" w:hAnsi="Times New Roman" w:cs="Times New Roman"/>
                <w:b w:val="0"/>
                <w:iCs/>
                <w:color w:val="000000"/>
                <w:spacing w:val="-1"/>
                <w:sz w:val="24"/>
                <w:szCs w:val="24"/>
              </w:rPr>
              <w:t>Lõpetanud Tallinna Ülikooli kutseõpetaja eriala 2002 a. TTHK tekstiilivaldkonna kutseõpetaja alates 01.02.2011 a.</w:t>
            </w:r>
            <w:bookmarkStart w:id="0" w:name="_GoBack"/>
            <w:bookmarkEnd w:id="0"/>
          </w:p>
        </w:tc>
      </w:tr>
    </w:tbl>
    <w:p w:rsidR="00322977" w:rsidRDefault="00322977" w:rsidP="0032297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Õppekava koostaja: </w:t>
      </w:r>
    </w:p>
    <w:p w:rsidR="00322977" w:rsidRPr="00873DDF" w:rsidRDefault="00322977" w:rsidP="0032297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873DD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Kaja Kuiv – </w:t>
      </w:r>
      <w:r w:rsidR="005E02F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tekstiili</w:t>
      </w:r>
      <w:r w:rsidRPr="00873DD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ja kaubandusvaldkonna juhtõpetaja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    </w:t>
      </w:r>
      <w:hyperlink r:id="rId9" w:history="1">
        <w:r w:rsidRPr="00911466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kaja.kuiv@tthk.ee</w:t>
        </w:r>
      </w:hyperlink>
    </w:p>
    <w:p w:rsidR="00322977" w:rsidRDefault="00322977" w:rsidP="00322977"/>
    <w:p w:rsidR="00EF670F" w:rsidRDefault="00EF670F"/>
    <w:sectPr w:rsidR="00EF67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AA" w:rsidRDefault="00C25EAA" w:rsidP="00421F68">
      <w:pPr>
        <w:spacing w:after="0" w:line="240" w:lineRule="auto"/>
      </w:pPr>
      <w:r>
        <w:separator/>
      </w:r>
    </w:p>
  </w:endnote>
  <w:endnote w:type="continuationSeparator" w:id="0">
    <w:p w:rsidR="00C25EAA" w:rsidRDefault="00C25EAA" w:rsidP="0042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AA" w:rsidRDefault="00C25EAA" w:rsidP="00421F68">
      <w:pPr>
        <w:spacing w:after="0" w:line="240" w:lineRule="auto"/>
      </w:pPr>
      <w:r>
        <w:separator/>
      </w:r>
    </w:p>
  </w:footnote>
  <w:footnote w:type="continuationSeparator" w:id="0">
    <w:p w:rsidR="00C25EAA" w:rsidRDefault="00C25EAA" w:rsidP="0042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F68" w:rsidRDefault="00421F68">
    <w:pPr>
      <w:pStyle w:val="Pis"/>
    </w:pPr>
    <w:r>
      <w:rPr>
        <w:rFonts w:ascii="Times New Roman" w:eastAsia="Times New Roman" w:hAnsi="Times New Roman" w:cs="Times New Roman"/>
        <w:b/>
        <w:bCs/>
        <w:noProof/>
        <w:spacing w:val="-4"/>
        <w:sz w:val="24"/>
        <w:szCs w:val="24"/>
        <w:lang w:eastAsia="et-EE"/>
      </w:rPr>
      <w:drawing>
        <wp:inline distT="0" distB="0" distL="0" distR="0" wp14:anchorId="3218DE1C" wp14:editId="7F0D9E3A">
          <wp:extent cx="1188720" cy="628015"/>
          <wp:effectExtent l="0" t="0" r="0" b="63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bCs/>
        <w:noProof/>
        <w:spacing w:val="-4"/>
        <w:sz w:val="24"/>
        <w:szCs w:val="24"/>
        <w:lang w:eastAsia="et-EE"/>
      </w:rPr>
      <w:drawing>
        <wp:inline distT="0" distB="0" distL="0" distR="0" wp14:anchorId="40E95D0C" wp14:editId="53A3799D">
          <wp:extent cx="1524000" cy="60960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1F68" w:rsidRDefault="00421F68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DC7"/>
    <w:multiLevelType w:val="hybridMultilevel"/>
    <w:tmpl w:val="54906B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7"/>
    <w:rsid w:val="00083C6A"/>
    <w:rsid w:val="00132687"/>
    <w:rsid w:val="001951CC"/>
    <w:rsid w:val="00292AF9"/>
    <w:rsid w:val="00322977"/>
    <w:rsid w:val="00365169"/>
    <w:rsid w:val="003D2C7E"/>
    <w:rsid w:val="00421F68"/>
    <w:rsid w:val="004A5DA3"/>
    <w:rsid w:val="005364CF"/>
    <w:rsid w:val="00576079"/>
    <w:rsid w:val="005E02FA"/>
    <w:rsid w:val="00603C0E"/>
    <w:rsid w:val="00642963"/>
    <w:rsid w:val="006A2D4B"/>
    <w:rsid w:val="006A3BB3"/>
    <w:rsid w:val="006E67C9"/>
    <w:rsid w:val="007C1EE6"/>
    <w:rsid w:val="007E0C12"/>
    <w:rsid w:val="00830AAB"/>
    <w:rsid w:val="00867131"/>
    <w:rsid w:val="008B1360"/>
    <w:rsid w:val="00A47F80"/>
    <w:rsid w:val="00AD4FAB"/>
    <w:rsid w:val="00B50F81"/>
    <w:rsid w:val="00B67A9E"/>
    <w:rsid w:val="00C25EAA"/>
    <w:rsid w:val="00DB709A"/>
    <w:rsid w:val="00DF00EC"/>
    <w:rsid w:val="00E577B1"/>
    <w:rsid w:val="00EF670F"/>
    <w:rsid w:val="00F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5CD2D-9847-4710-A841-40E9427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22977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322977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322977"/>
    <w:pPr>
      <w:ind w:left="720"/>
      <w:contextualSpacing/>
    </w:pPr>
  </w:style>
  <w:style w:type="table" w:styleId="Kontuurtabel">
    <w:name w:val="Table Grid"/>
    <w:basedOn w:val="Normaaltabel"/>
    <w:uiPriority w:val="59"/>
    <w:rsid w:val="00322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vatabel21">
    <w:name w:val="Tavatabel 21"/>
    <w:basedOn w:val="Normaaltabel"/>
    <w:uiPriority w:val="42"/>
    <w:rsid w:val="003229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4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47F80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42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21F68"/>
  </w:style>
  <w:style w:type="paragraph" w:styleId="Jalus">
    <w:name w:val="footer"/>
    <w:basedOn w:val="Normaallaad"/>
    <w:link w:val="JalusMrk"/>
    <w:uiPriority w:val="99"/>
    <w:unhideWhenUsed/>
    <w:rsid w:val="00421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2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Winifred-Aldrich/e/B001IU4QUG/ref=dp_byline_cont_book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ja.kuiv@tthk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9A855-9AFA-46B0-BB60-6E0A9349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1083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Kuiv</dc:creator>
  <cp:keywords/>
  <dc:description/>
  <cp:lastModifiedBy>Marika Valk</cp:lastModifiedBy>
  <cp:revision>23</cp:revision>
  <cp:lastPrinted>2017-09-28T07:14:00Z</cp:lastPrinted>
  <dcterms:created xsi:type="dcterms:W3CDTF">2017-09-14T09:23:00Z</dcterms:created>
  <dcterms:modified xsi:type="dcterms:W3CDTF">2017-09-28T08:12:00Z</dcterms:modified>
</cp:coreProperties>
</file>