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61" w:rsidRDefault="00E23261" w:rsidP="00E23261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E23261" w:rsidRDefault="00E23261" w:rsidP="00E23261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E23261" w:rsidTr="00A2135D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1" w:rsidRDefault="00E23261" w:rsidP="00F12B7E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F12B7E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 (TTHK)</w:t>
            </w:r>
          </w:p>
        </w:tc>
      </w:tr>
      <w:tr w:rsidR="00E23261" w:rsidTr="00A2135D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1" w:rsidRDefault="00E23261" w:rsidP="00F12B7E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5" w:rsidRDefault="00E71E7B" w:rsidP="000907E5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97">
              <w:rPr>
                <w:rFonts w:ascii="Times New Roman" w:hAnsi="Times New Roman" w:cs="Times New Roman"/>
                <w:bCs/>
                <w:sz w:val="24"/>
                <w:szCs w:val="24"/>
              </w:rPr>
              <w:t>Auto istmekatete uuendamine</w:t>
            </w:r>
          </w:p>
          <w:p w:rsidR="005100B6" w:rsidRPr="00ED31C6" w:rsidRDefault="005100B6" w:rsidP="005100B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510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съемного покрытия автомобильного сидения </w:t>
            </w:r>
          </w:p>
        </w:tc>
      </w:tr>
      <w:tr w:rsidR="00E23261" w:rsidTr="00A2135D">
        <w:trPr>
          <w:trHeight w:val="6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F12B7E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(täiendus- koolituse standardi järgi):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Pr="00D5283A" w:rsidRDefault="00E23261" w:rsidP="00F12B7E">
            <w:pPr>
              <w:widowControl w:val="0"/>
              <w:tabs>
                <w:tab w:val="left" w:leader="do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Tekstiili, rõivaste, jalatsite valmistamine ning  naha töötlemine; Õppesuund: Tootmine ja töötlemine, ISCED 97 nr 542</w:t>
            </w:r>
            <w:r w:rsidRPr="00D528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23261" w:rsidTr="00A213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F12B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F12B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vene /eesti keel</w:t>
            </w:r>
          </w:p>
        </w:tc>
      </w:tr>
    </w:tbl>
    <w:p w:rsidR="00E23261" w:rsidRDefault="00E23261" w:rsidP="00F12B7E">
      <w:pPr>
        <w:pStyle w:val="Loendilik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E23261" w:rsidTr="0083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261" w:rsidRDefault="00E23261" w:rsidP="00F12B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</w:pPr>
            <w:r w:rsidRPr="00647C7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Sihtrühm ja selle kirjeldus ja õppe alustamise nõuded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Pr="00647C75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>(ära märkida nii milliste erialaoskuste, haridustaseme või vanusegrupi inimestele koolitus on mõeldud; kas ja millised on nõuded õpingute alustamiseks ning milline on optimaalne grupi suurus)</w:t>
            </w:r>
          </w:p>
          <w:p w:rsidR="00F12B7E" w:rsidRDefault="00F12B7E" w:rsidP="00F12B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261" w:rsidRDefault="00E23261" w:rsidP="00E71E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Põhi ja/või keskharidusega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tä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iskasvanud, töötavad ja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/või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töötud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vanuses 17-64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D5283A">
              <w:rPr>
                <w:rFonts w:ascii="Times New Roman" w:hAnsi="Times New Roman" w:cs="Times New Roman"/>
                <w:b w:val="0"/>
                <w:sz w:val="24"/>
                <w:szCs w:val="24"/>
              </w:rPr>
              <w:t>kes soovi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vad </w:t>
            </w:r>
            <w:r w:rsidRPr="00D528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E71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õmblusalast täiendkoolitust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auto</w:t>
            </w:r>
            <w:r w:rsidR="00E71E7B">
              <w:rPr>
                <w:rFonts w:ascii="Times New Roman" w:hAnsi="Times New Roman" w:cs="Times New Roman"/>
                <w:b w:val="0"/>
                <w:sz w:val="24"/>
                <w:szCs w:val="24"/>
              </w:rPr>
              <w:t>le uute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istmekatete</w:t>
            </w:r>
            <w:r w:rsidR="00E71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A38CA">
              <w:rPr>
                <w:rFonts w:ascii="Times New Roman" w:hAnsi="Times New Roman" w:cs="Times New Roman"/>
                <w:b w:val="0"/>
                <w:sz w:val="24"/>
                <w:szCs w:val="24"/>
              </w:rPr>
              <w:t>uuendamis/</w:t>
            </w:r>
            <w:r w:rsidR="00E71E7B">
              <w:rPr>
                <w:rFonts w:ascii="Times New Roman" w:hAnsi="Times New Roman" w:cs="Times New Roman"/>
                <w:b w:val="0"/>
                <w:sz w:val="24"/>
                <w:szCs w:val="24"/>
              </w:rPr>
              <w:t>valmistamise protsessist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sisenemaks tööturule või tööl püsimiseks konkurentsivõime tõstmiseks</w:t>
            </w:r>
            <w:r w:rsidRPr="00D5283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2FB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Grupi suurus </w:t>
            </w:r>
            <w:r w:rsidR="001341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osalejat.</w:t>
            </w:r>
          </w:p>
          <w:p w:rsidR="00085D98" w:rsidRPr="00085D98" w:rsidRDefault="00085D98" w:rsidP="00085D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5D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Õppe alustamise nõuded: Õmbluserialaseid õpinguid tõendav dokument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085D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erialaline töökogemus</w:t>
            </w:r>
            <w:r w:rsidRPr="00085D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või </w:t>
            </w:r>
            <w:r w:rsidRPr="00BA38C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tööturukoolituse „Õmbleja</w:t>
            </w:r>
            <w:r w:rsidR="00BA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085D98">
              <w:rPr>
                <w:rFonts w:ascii="Times New Roman" w:eastAsia="Times New Roman" w:hAnsi="Times New Roman" w:cs="Times New Roman"/>
                <w:b w:val="0"/>
                <w:color w:val="000000"/>
                <w:spacing w:val="-9"/>
                <w:sz w:val="24"/>
                <w:szCs w:val="24"/>
              </w:rPr>
              <w:t>läbinud osalejad</w:t>
            </w:r>
            <w:r w:rsidR="00951BB5">
              <w:rPr>
                <w:rFonts w:ascii="Times New Roman" w:eastAsia="Times New Roman" w:hAnsi="Times New Roman" w:cs="Times New Roman"/>
                <w:b w:val="0"/>
                <w:color w:val="000000"/>
                <w:spacing w:val="-9"/>
                <w:sz w:val="24"/>
                <w:szCs w:val="24"/>
              </w:rPr>
              <w:t>.</w:t>
            </w:r>
          </w:p>
        </w:tc>
      </w:tr>
      <w:tr w:rsidR="00E23261" w:rsidTr="0083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23261" w:rsidRPr="00903E08" w:rsidRDefault="00E23261" w:rsidP="00F12B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903E0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Õpiväljundid: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03E08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(e. õpitulemused, </w:t>
            </w:r>
            <w:r w:rsidRPr="00903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03E08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kirjeldatakse kompetentsidena, mis täpsustavad, millised teadmised, oskused ja hoiakud peab õppija omandama õppeprotsessi lõpuks)</w:t>
            </w:r>
          </w:p>
          <w:p w:rsidR="00F12B7E" w:rsidRDefault="00F12B7E" w:rsidP="00F12B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FD0" w:rsidRDefault="00972FB2" w:rsidP="00951BB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C3F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Eesmärk</w:t>
            </w:r>
            <w:r w:rsidR="00E23261" w:rsidRPr="00EC3FA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õpetusega taotletakse, et õpilane </w:t>
            </w:r>
            <w:r w:rsidR="00EC3FAC" w:rsidRPr="00EC3F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planeerib auto istme </w:t>
            </w:r>
            <w:r w:rsidR="00BA3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uue </w:t>
            </w:r>
            <w:r w:rsidR="00951BB5">
              <w:rPr>
                <w:rFonts w:ascii="Times New Roman" w:hAnsi="Times New Roman" w:cs="Times New Roman"/>
                <w:b w:val="0"/>
                <w:sz w:val="24"/>
                <w:szCs w:val="24"/>
              </w:rPr>
              <w:t>kattega</w:t>
            </w:r>
            <w:r w:rsidR="00BA3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FAC" w:rsidRPr="00EC3FAC">
              <w:rPr>
                <w:rFonts w:ascii="Times New Roman" w:hAnsi="Times New Roman" w:cs="Times New Roman"/>
                <w:b w:val="0"/>
                <w:sz w:val="24"/>
                <w:szCs w:val="24"/>
              </w:rPr>
              <w:t>katmise töökäigu ja tööülesande täitmis</w:t>
            </w:r>
            <w:r w:rsidR="00951BB5">
              <w:rPr>
                <w:rFonts w:ascii="Times New Roman" w:hAnsi="Times New Roman" w:cs="Times New Roman"/>
                <w:b w:val="0"/>
                <w:sz w:val="24"/>
                <w:szCs w:val="24"/>
              </w:rPr>
              <w:t>eks vajaliku materjali</w:t>
            </w:r>
            <w:r w:rsidR="00EC3FAC" w:rsidRPr="00EC3FAC">
              <w:rPr>
                <w:rFonts w:ascii="Times New Roman" w:hAnsi="Times New Roman" w:cs="Times New Roman"/>
                <w:b w:val="0"/>
                <w:sz w:val="24"/>
                <w:szCs w:val="24"/>
              </w:rPr>
              <w:t>kulu</w:t>
            </w:r>
          </w:p>
          <w:p w:rsidR="00C51FD0" w:rsidRPr="00C51FD0" w:rsidRDefault="00EC3FAC" w:rsidP="00C51FD0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FD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t-EE"/>
              </w:rPr>
              <w:t xml:space="preserve">valmistab ette töökoha, seab töökorda </w:t>
            </w:r>
            <w:r w:rsidR="00C51FD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t-EE"/>
              </w:rPr>
              <w:t>seadmed ja töövahendid</w:t>
            </w:r>
          </w:p>
          <w:p w:rsidR="00C51FD0" w:rsidRDefault="00EC3FAC" w:rsidP="00C51FD0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FD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t-EE"/>
              </w:rPr>
              <w:t>eemaldab vanad katted,</w:t>
            </w:r>
            <w:r w:rsidRP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51BB5" w:rsidRP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>valmistab lõiked;</w:t>
            </w:r>
            <w:r w:rsid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1FD0" w:rsidRDefault="00C51FD0" w:rsidP="00C51FD0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paigutab lõiked materjalile, arvutab materjalide kulu</w:t>
            </w:r>
          </w:p>
          <w:p w:rsidR="00C51FD0" w:rsidRDefault="00EC3FAC" w:rsidP="00C51FD0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lõikab, õmbleb istmekatte, kasutades sobivat tehnoloogiat </w:t>
            </w:r>
          </w:p>
          <w:p w:rsidR="00C51FD0" w:rsidRDefault="00EC3FAC" w:rsidP="00C51FD0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>paigaldab katte</w:t>
            </w:r>
            <w:r w:rsid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>, arvestades kvaliteedinõuetega</w:t>
            </w:r>
          </w:p>
          <w:p w:rsidR="00EC3FAC" w:rsidRPr="00C51FD0" w:rsidRDefault="00EC3FAC" w:rsidP="00C51FD0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FD0">
              <w:rPr>
                <w:rFonts w:ascii="Times New Roman" w:hAnsi="Times New Roman" w:cs="Times New Roman"/>
                <w:b w:val="0"/>
                <w:sz w:val="24"/>
                <w:szCs w:val="24"/>
              </w:rPr>
              <w:t>kasutab ohutuid töövõtteid ning järgib materjalide säästlikku kasutust.</w:t>
            </w:r>
          </w:p>
        </w:tc>
      </w:tr>
      <w:tr w:rsidR="00E23261" w:rsidTr="00830E04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23261" w:rsidRPr="0037648F" w:rsidRDefault="00E23261" w:rsidP="00A2135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B24AA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Õpiväljundite seos kutsestandardi või tasemeõppe õppekavaga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37648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37648F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tuua ära vastav kutsestandard ning viide konkreetsetele kompetentsidele, mida koolitusega saavutatakse)</w:t>
            </w:r>
          </w:p>
          <w:p w:rsidR="00E23261" w:rsidRPr="008B5A0E" w:rsidRDefault="00134179" w:rsidP="001D69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E">
              <w:rPr>
                <w:rFonts w:ascii="Times New Roman" w:hAnsi="Times New Roman" w:cs="Times New Roman"/>
                <w:sz w:val="24"/>
                <w:szCs w:val="24"/>
              </w:rPr>
              <w:t xml:space="preserve">Õmbleja 3 tase </w:t>
            </w:r>
            <w:r w:rsidR="001D69AD" w:rsidRPr="008B5A0E">
              <w:rPr>
                <w:rFonts w:ascii="Times New Roman" w:hAnsi="Times New Roman" w:cs="Times New Roman"/>
                <w:sz w:val="24"/>
                <w:szCs w:val="24"/>
              </w:rPr>
              <w:t>kompetentsid:</w:t>
            </w:r>
          </w:p>
          <w:p w:rsidR="001D69AD" w:rsidRPr="008B5A0E" w:rsidRDefault="001D69AD" w:rsidP="008B5A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B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B.2.1 Töövahendite, seadmete ja masinate käsitsemine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Tegevusnäitajad: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1. Valmistab masina ette (</w:t>
            </w:r>
            <w:proofErr w:type="spellStart"/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niidistab</w:t>
            </w:r>
            <w:proofErr w:type="spellEnd"/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valib nõela ja presstalla, reguleerib pistet), lähtudes tööülesandest, materjali</w:t>
            </w:r>
            <w:r w:rsid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liigist ja masina eripärast;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2. Puhastab töö lõppedes masina seest ja väljast, vajadusel ka tööoperatsioonide vahetumisel, järgides</w:t>
            </w:r>
            <w:r w:rsid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õmblusmasinate hooldusnõudeid;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3. Valib juhendamisel masinal olevaid programme (näit. niidi lõikamine, õmbluse algus- ja lõppkinnituse tegemine</w:t>
            </w:r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jne.);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="00401152" w:rsidRPr="008B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B.2.2 Õmblusoperatsioonide tegemine </w:t>
            </w:r>
            <w:r w:rsidR="00401152" w:rsidRPr="008B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Tegevusnäitajad:</w:t>
            </w:r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1. Ühendab ja palistab detaile vastavalt toote- ja materjaliliigile, järgides ettenähtud </w:t>
            </w:r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õmblusvaru ja</w:t>
            </w:r>
            <w:r w:rsid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vastasmärke</w:t>
            </w:r>
            <w:proofErr w:type="spellEnd"/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2. Ühendab figuurseid detaile, järgides ettenähtud õmblusvaru ja </w:t>
            </w:r>
            <w:proofErr w:type="spellStart"/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vastasmärke</w:t>
            </w:r>
            <w:proofErr w:type="spellEnd"/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  <w:r w:rsidR="00401152"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3. Märgib erinevate furnituuride asukohad ja kinnitab need, vastavalt tööülesandele ja juhistele.</w:t>
            </w:r>
          </w:p>
          <w:p w:rsidR="00401152" w:rsidRDefault="00401152" w:rsidP="008B5A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B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B.2.4 Õmbleja, tase 3 kutset läbiv kompetents </w:t>
            </w:r>
            <w:r w:rsidRPr="008B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Tegevusnäitajad:</w:t>
            </w:r>
            <w:r w:rsidRPr="008B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 Järgib oma töös töötervishoiu, -ohutuse, -korralduse ja keskkonnahoiu nõudeid;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2. Paigutab töövahendid ja detailid töökohal tsoonidesse, mis tagavad õmblemisel ratsionaalsete töövõtete</w:t>
            </w:r>
            <w:r w:rsid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kasutamise ja ergonoomilise tööasendi;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3. Järgib igas tööetapis kvaliteedinõudeid;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Pr="008B5A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Hoiab igas tööetapis oma töökoha korras.</w:t>
            </w:r>
          </w:p>
          <w:p w:rsidR="00C51FD0" w:rsidRDefault="00C51FD0" w:rsidP="008B5A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51FD0" w:rsidRDefault="00C51FD0" w:rsidP="00C51FD0">
            <w:pPr>
              <w:spacing w:after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51FD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Põhjendus: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C51FD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 w:rsidRPr="00C51FD0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koolituse sihtrühma ja õpiväljundite </w:t>
            </w:r>
            <w:r w:rsidRPr="00C51FD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valiku osas</w:t>
            </w:r>
            <w:r w:rsidRPr="00C51FD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51FD0" w:rsidRDefault="00C51FD0" w:rsidP="00C51F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216">
              <w:rPr>
                <w:rFonts w:ascii="Times New Roman" w:hAnsi="Times New Roman" w:cs="Times New Roman"/>
                <w:b w:val="0"/>
                <w:sz w:val="24"/>
                <w:szCs w:val="24"/>
              </w:rPr>
              <w:t>Õpib ja omandab uusi tehnikaid, tehnoloogiaid, mõistab uut informatsiooni, on võimeline kaasa mõtlema ja lahendusi pakkuma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31216">
              <w:rPr>
                <w:rFonts w:ascii="Times New Roman" w:hAnsi="Times New Roman" w:cs="Times New Roman"/>
                <w:b w:val="0"/>
                <w:sz w:val="24"/>
                <w:szCs w:val="24"/>
              </w:rPr>
              <w:t>Arendab tööalaseid teadmisi ja oskusi läbi töökogemuse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31216">
              <w:rPr>
                <w:rFonts w:ascii="Times New Roman" w:hAnsi="Times New Roman" w:cs="Times New Roman"/>
                <w:b w:val="0"/>
                <w:sz w:val="24"/>
                <w:szCs w:val="24"/>
              </w:rPr>
              <w:t>Täienduskoolitusel osaleja teab ja rakendab teadmisi ja oskusi väljund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ipõhiselt  oma edaspidises töös.</w:t>
            </w:r>
          </w:p>
          <w:p w:rsidR="00C51FD0" w:rsidRPr="001D69AD" w:rsidRDefault="00C51FD0" w:rsidP="008B5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23261" w:rsidRDefault="00E23261" w:rsidP="00E23261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E23261" w:rsidTr="00A2135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AB0B3D" w:rsidP="006F4BE8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="006F4BE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</w:t>
            </w:r>
          </w:p>
        </w:tc>
      </w:tr>
      <w:tr w:rsidR="00E23261" w:rsidTr="00A2135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1" w:rsidRDefault="00E23261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E23261" w:rsidTr="00A2135D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A2135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E23261" w:rsidRDefault="00E23261" w:rsidP="00A2135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134179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23261" w:rsidTr="00A2135D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A2135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E23261" w:rsidRDefault="00E23261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6F4BE8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90</w:t>
            </w:r>
          </w:p>
        </w:tc>
      </w:tr>
      <w:tr w:rsidR="00E23261" w:rsidTr="00A2135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1" w:rsidRDefault="00E23261" w:rsidP="00A2135D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E23261" w:rsidRDefault="00E23261" w:rsidP="00E23261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E23261" w:rsidTr="0041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261" w:rsidRDefault="00E23261" w:rsidP="00565B31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E23261" w:rsidRPr="00353C22" w:rsidRDefault="00E23261" w:rsidP="00565B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</w:pPr>
            <w:r w:rsidRPr="00353C22"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E23261" w:rsidRPr="00C17F37" w:rsidRDefault="00E23261" w:rsidP="00565B3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3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1. </w:t>
            </w:r>
            <w:r w:rsidR="00AB0B3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Kasutatavad </w:t>
            </w:r>
            <w:r w:rsidRPr="00C17F3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materjalid ja seadmed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F12B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istmete 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materjal</w:t>
            </w:r>
            <w:r w:rsidR="00F12B7E">
              <w:rPr>
                <w:rFonts w:ascii="Times New Roman" w:hAnsi="Times New Roman" w:cs="Times New Roman"/>
                <w:b w:val="0"/>
                <w:sz w:val="24"/>
                <w:szCs w:val="24"/>
              </w:rPr>
              <w:t>ide</w:t>
            </w:r>
            <w:r w:rsidR="00AB0B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 põhi-, abi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materjali</w:t>
            </w:r>
            <w:r w:rsidR="00AB0B3D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>) valik; materjalide kulu arvestus; kasutatavad tö</w:t>
            </w:r>
            <w:r w:rsidR="00AB0B3D">
              <w:rPr>
                <w:rFonts w:ascii="Times New Roman" w:hAnsi="Times New Roman" w:cs="Times New Roman"/>
                <w:b w:val="0"/>
                <w:sz w:val="24"/>
                <w:szCs w:val="24"/>
              </w:rPr>
              <w:t>övahendid ja seadmed; tööohutus.</w:t>
            </w:r>
          </w:p>
          <w:p w:rsidR="00E23261" w:rsidRPr="00C17F37" w:rsidRDefault="00E23261" w:rsidP="00565B3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3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2.</w:t>
            </w:r>
            <w:r w:rsidR="00AB0B3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Tööprotsessi kavandamine j</w:t>
            </w:r>
            <w:r w:rsidR="0020727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 tehnoloogiline tööjärjekord</w:t>
            </w:r>
            <w:r w:rsidRPr="00C17F3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: </w:t>
            </w:r>
            <w:r w:rsidR="00AB0B3D" w:rsidRPr="00AB0B3D">
              <w:rPr>
                <w:rFonts w:ascii="Times New Roman" w:hAnsi="Times New Roman" w:cs="Times New Roman"/>
                <w:b w:val="0"/>
                <w:sz w:val="24"/>
                <w:szCs w:val="24"/>
              </w:rPr>
              <w:t>vana katte eemaldamine, lõigete valmistamine</w:t>
            </w:r>
            <w:r w:rsidR="00AB0B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ja paigutamine põhimaterjalile</w:t>
            </w:r>
            <w:r w:rsidR="00F12B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(tekstiil/nahk)</w:t>
            </w:r>
            <w:r w:rsidR="00AB0B3D">
              <w:rPr>
                <w:rFonts w:ascii="Times New Roman" w:hAnsi="Times New Roman" w:cs="Times New Roman"/>
                <w:b w:val="0"/>
                <w:sz w:val="24"/>
                <w:szCs w:val="24"/>
              </w:rPr>
              <w:t>, õmblu</w:t>
            </w:r>
            <w:r w:rsidR="002072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svarude lisamine, </w:t>
            </w:r>
            <w:r w:rsidR="004946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materjalide kulu arvutamine, </w:t>
            </w:r>
            <w:r w:rsidR="002072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tehnoloogilise töötlemise järjekord ja 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kvaliteedinõuded </w:t>
            </w:r>
            <w:r w:rsidR="0020727C">
              <w:rPr>
                <w:rFonts w:ascii="Times New Roman" w:hAnsi="Times New Roman" w:cs="Times New Roman"/>
                <w:b w:val="0"/>
                <w:sz w:val="24"/>
                <w:szCs w:val="24"/>
              </w:rPr>
              <w:t>valmis tootele ja paigaldamisele.</w:t>
            </w:r>
          </w:p>
          <w:p w:rsidR="00E23261" w:rsidRPr="00C17F37" w:rsidRDefault="00E23261" w:rsidP="00565B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pacing w:val="-1"/>
                <w:sz w:val="24"/>
                <w:szCs w:val="24"/>
              </w:rPr>
            </w:pPr>
            <w:r w:rsidRPr="00C17F37">
              <w:rPr>
                <w:rFonts w:ascii="Times New Roman" w:eastAsia="Times New Roman" w:hAnsi="Times New Roman" w:cs="Times New Roman"/>
                <w:bCs w:val="0"/>
                <w:spacing w:val="-1"/>
                <w:sz w:val="24"/>
                <w:szCs w:val="24"/>
              </w:rPr>
              <w:t>Praktiliste tööde lühikirjeldused:</w:t>
            </w:r>
          </w:p>
          <w:p w:rsidR="00E23261" w:rsidRDefault="00E23261" w:rsidP="00565B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37">
              <w:rPr>
                <w:rFonts w:ascii="Times New Roman" w:eastAsia="Times New Roman" w:hAnsi="Times New Roman" w:cs="Times New Roman"/>
                <w:b w:val="0"/>
                <w:bCs w:val="0"/>
                <w:i/>
                <w:spacing w:val="-1"/>
                <w:sz w:val="24"/>
                <w:szCs w:val="24"/>
              </w:rPr>
              <w:t xml:space="preserve">3.Harjutustööd ja praktilised tööd: </w:t>
            </w:r>
            <w:r w:rsidRPr="00C17F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harjutustööd erinevatel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õmblus-, </w:t>
            </w:r>
            <w:r w:rsidRPr="00C17F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nahatöö seadmetel töötamiseks;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lõigete valmistamine, </w:t>
            </w:r>
            <w:r w:rsidR="00F12B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efektiivne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paigutamine ja juurdelõikus;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727C">
              <w:rPr>
                <w:rFonts w:ascii="Times New Roman" w:hAnsi="Times New Roman" w:cs="Times New Roman"/>
                <w:b w:val="0"/>
                <w:sz w:val="24"/>
                <w:szCs w:val="24"/>
              </w:rPr>
              <w:t>proovimaterjalist auto istmekatte valmistamine ja paigaldamine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ja </w:t>
            </w:r>
            <w:r w:rsidR="002072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valminud töö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esitlemine</w:t>
            </w:r>
            <w:r w:rsidR="002072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ning töötulemuste analüüs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621E1" w:rsidRDefault="00D621E1" w:rsidP="00565B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21E1" w:rsidRPr="00D621E1" w:rsidRDefault="00D621E1" w:rsidP="00565B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E1">
              <w:rPr>
                <w:rFonts w:ascii="Times New Roman" w:hAnsi="Times New Roman" w:cs="Times New Roman"/>
                <w:sz w:val="24"/>
                <w:szCs w:val="24"/>
              </w:rPr>
              <w:t>Õppematerjalid:</w:t>
            </w:r>
          </w:p>
          <w:p w:rsidR="00412946" w:rsidRPr="00412946" w:rsidRDefault="00100540" w:rsidP="0041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946" w:rsidRPr="0041294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http://unit-car.com/tuning/149-peretyazhka-sideniy-avtomobilya.html</w:t>
              </w:r>
            </w:hyperlink>
          </w:p>
          <w:p w:rsidR="00412946" w:rsidRPr="00412946" w:rsidRDefault="00100540" w:rsidP="0041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2946" w:rsidRPr="0041294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https://www.drive2.ru/b/684577/</w:t>
              </w:r>
            </w:hyperlink>
          </w:p>
          <w:p w:rsidR="00412946" w:rsidRDefault="00100540" w:rsidP="004129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2946" w:rsidRPr="005B192E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http://carnovato.ru/peretjazhka-salona-dverej-avtomobilja-kozhej/</w:t>
              </w:r>
            </w:hyperlink>
          </w:p>
          <w:p w:rsidR="00E23261" w:rsidRPr="00F94DE6" w:rsidRDefault="00E23261" w:rsidP="00565B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D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Õppekeskkonna lühikirjeldus:</w:t>
            </w:r>
          </w:p>
          <w:p w:rsidR="00E23261" w:rsidRPr="00353C22" w:rsidRDefault="00E23261" w:rsidP="006F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Auditoorse töö läbimisel on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kasutada arvuti,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dataprojektor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ja dokumendikaamera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20727C">
              <w:rPr>
                <w:rFonts w:ascii="Times New Roman" w:hAnsi="Times New Roman"/>
                <w:b w:val="0"/>
                <w:sz w:val="24"/>
                <w:szCs w:val="24"/>
              </w:rPr>
              <w:t>õppematerjalid.</w:t>
            </w:r>
            <w:r w:rsidR="006F4B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Spetsiaalsete õmblus-, nahatööseadmetega sisustaud õppetöökoda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. Igal õpilasel on individuaalne töökoht ning kasutada õppetööks </w:t>
            </w:r>
            <w:r w:rsidR="006F4BE8">
              <w:rPr>
                <w:rFonts w:ascii="Times New Roman" w:hAnsi="Times New Roman"/>
                <w:b w:val="0"/>
                <w:sz w:val="24"/>
                <w:szCs w:val="24"/>
              </w:rPr>
              <w:t>vajalikud õmblus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>seadmed ning abi- ja töövahendid (mõõdulint, käärid,</w:t>
            </w:r>
            <w:r w:rsidR="004B4FF6">
              <w:rPr>
                <w:rFonts w:ascii="Times New Roman" w:hAnsi="Times New Roman"/>
                <w:b w:val="0"/>
                <w:sz w:val="24"/>
                <w:szCs w:val="24"/>
              </w:rPr>
              <w:t xml:space="preserve"> noad,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 lekaalid,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proovimaterjalid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 jm)</w:t>
            </w:r>
          </w:p>
        </w:tc>
      </w:tr>
      <w:tr w:rsidR="00E23261" w:rsidTr="0056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261" w:rsidRPr="00412946" w:rsidRDefault="00E23261" w:rsidP="00A2135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412946"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lastRenderedPageBreak/>
              <w:t>Nõuded õppe lõpetamiseks, sh hindamismeetodid ja -kriteeriumid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294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(nõutav õpiväljundite saa</w:t>
            </w:r>
            <w:r w:rsidR="0041294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 xml:space="preserve">vutamise hindamine ja vähemalt </w:t>
            </w:r>
            <w:r w:rsidR="0086554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7</w:t>
            </w:r>
            <w:r w:rsidRPr="0041294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0% õppekava läbimine)</w:t>
            </w:r>
          </w:p>
          <w:p w:rsidR="00E23261" w:rsidRPr="00353C22" w:rsidRDefault="00E23261" w:rsidP="00A21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>Vähemalt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554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0%</w:t>
            </w: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õppekava läbimine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4F3F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Õpiväljundite omandamist hinnatakse mitteeristavalt</w:t>
            </w:r>
          </w:p>
          <w:p w:rsidR="00E23261" w:rsidRDefault="00E23261" w:rsidP="00A21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ursusel valminud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õpimapi koostamise ja esitlemise alusel.</w:t>
            </w:r>
          </w:p>
          <w:p w:rsidR="00E23261" w:rsidRPr="00353C22" w:rsidRDefault="00E23261" w:rsidP="00A21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Õpimapi osad:</w:t>
            </w:r>
          </w:p>
          <w:p w:rsidR="00E23261" w:rsidRDefault="004B4FF6" w:rsidP="00A21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õmblus-, </w:t>
            </w:r>
            <w:r w:rsidR="00E23261"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nahatöös kasutatavatel seadmetel valmistatud tööproovid</w:t>
            </w:r>
            <w:r w:rsidR="00E2326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;</w:t>
            </w:r>
          </w:p>
          <w:p w:rsidR="004B4FF6" w:rsidRPr="00BD4C5F" w:rsidRDefault="004B4FF6" w:rsidP="00A21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istmekatte lõiked, materjalide kulu arvestus</w:t>
            </w:r>
          </w:p>
          <w:p w:rsidR="00E23261" w:rsidRPr="000B4F3F" w:rsidRDefault="00E23261" w:rsidP="00E2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valminud praktilised tööd. </w:t>
            </w:r>
          </w:p>
        </w:tc>
      </w:tr>
    </w:tbl>
    <w:p w:rsidR="00E23261" w:rsidRDefault="00E23261" w:rsidP="00E23261">
      <w:pPr>
        <w:pStyle w:val="Loendilik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E23261" w:rsidTr="0030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3261" w:rsidRDefault="00E23261" w:rsidP="00565B3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Koolitaja andmed </w:t>
            </w:r>
            <w: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(ees- ja perenimi, e-mail; kursuse läbiviimiseks vajalikku kompetentsust näitav kvalifikatsioon või kompetentsi näitava õpi- või töökogemuse kirjeldus)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03F7B" w:rsidRDefault="00E23261" w:rsidP="00303F7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3C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Larissa </w:t>
            </w:r>
            <w:proofErr w:type="spellStart"/>
            <w:r w:rsidRPr="00353C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Švintsuk</w:t>
            </w:r>
            <w:proofErr w:type="spellEnd"/>
            <w:r w:rsidRPr="00353C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Kaunase Polütehniline Instituut 1986,</w:t>
            </w:r>
            <w:r w:rsidRPr="00353C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nahktoodete tehnoloog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; TTHK kutseõpetaja alates 1990</w:t>
            </w:r>
            <w:r w:rsidR="00303F7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;</w:t>
            </w:r>
            <w:bookmarkStart w:id="0" w:name="_GoBack"/>
            <w:r w:rsidR="00303F7B" w:rsidRPr="00303F7B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303F7B" w:rsidRPr="00303F7B">
                <w:rPr>
                  <w:rStyle w:val="Hperlink"/>
                  <w:rFonts w:ascii="Times New Roman" w:hAnsi="Times New Roman" w:cs="Times New Roman"/>
                  <w:b w:val="0"/>
                  <w:iCs/>
                  <w:color w:val="000000" w:themeColor="text1"/>
                  <w:sz w:val="24"/>
                  <w:szCs w:val="24"/>
                </w:rPr>
                <w:t>larissa.svintsuk@tthk.ee</w:t>
              </w:r>
            </w:hyperlink>
            <w:bookmarkEnd w:id="0"/>
          </w:p>
        </w:tc>
      </w:tr>
    </w:tbl>
    <w:p w:rsidR="00E23261" w:rsidRDefault="00E23261" w:rsidP="00E23261">
      <w:pPr>
        <w:shd w:val="clear" w:color="auto" w:fill="FFFFFF"/>
        <w:spacing w:before="226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Õppekava koostaja: </w:t>
      </w:r>
      <w:r w:rsidRPr="00353C22">
        <w:rPr>
          <w:rFonts w:ascii="Times New Roman" w:hAnsi="Times New Roman" w:cs="Times New Roman"/>
          <w:iCs/>
          <w:sz w:val="24"/>
          <w:szCs w:val="24"/>
        </w:rPr>
        <w:t xml:space="preserve">Kaja Kuiv – </w:t>
      </w:r>
      <w:r w:rsidR="009121EB">
        <w:rPr>
          <w:rFonts w:ascii="Times New Roman" w:hAnsi="Times New Roman" w:cs="Times New Roman"/>
          <w:iCs/>
          <w:sz w:val="24"/>
          <w:szCs w:val="24"/>
        </w:rPr>
        <w:t>tekstiili</w:t>
      </w:r>
      <w:r w:rsidRPr="00353C22">
        <w:rPr>
          <w:rFonts w:ascii="Times New Roman" w:hAnsi="Times New Roman" w:cs="Times New Roman"/>
          <w:iCs/>
          <w:sz w:val="24"/>
          <w:szCs w:val="24"/>
        </w:rPr>
        <w:t xml:space="preserve"> ja kaubandusvaldkonna juhtõpetaja; </w:t>
      </w:r>
      <w:hyperlink r:id="rId11" w:history="1">
        <w:r w:rsidRPr="00353C22">
          <w:rPr>
            <w:rStyle w:val="Hperlink"/>
            <w:rFonts w:ascii="Times New Roman" w:hAnsi="Times New Roman" w:cs="Times New Roman"/>
            <w:iCs/>
            <w:sz w:val="24"/>
            <w:szCs w:val="24"/>
          </w:rPr>
          <w:t>kaja.kuiv@tthk.ee</w:t>
        </w:r>
      </w:hyperlink>
    </w:p>
    <w:p w:rsidR="00E23261" w:rsidRDefault="00E23261" w:rsidP="00E23261"/>
    <w:p w:rsidR="00EF670F" w:rsidRDefault="00EF670F"/>
    <w:sectPr w:rsidR="00EF670F" w:rsidSect="00391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40" w:rsidRDefault="00100540">
      <w:pPr>
        <w:spacing w:after="0" w:line="240" w:lineRule="auto"/>
      </w:pPr>
      <w:r>
        <w:separator/>
      </w:r>
    </w:p>
  </w:endnote>
  <w:endnote w:type="continuationSeparator" w:id="0">
    <w:p w:rsidR="00100540" w:rsidRDefault="0010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0" w:rsidRDefault="000D6F20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0" w:rsidRDefault="000D6F20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0" w:rsidRDefault="000D6F2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40" w:rsidRDefault="00100540">
      <w:pPr>
        <w:spacing w:after="0" w:line="240" w:lineRule="auto"/>
      </w:pPr>
      <w:r>
        <w:separator/>
      </w:r>
    </w:p>
  </w:footnote>
  <w:footnote w:type="continuationSeparator" w:id="0">
    <w:p w:rsidR="00100540" w:rsidRDefault="0010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0" w:rsidRDefault="000D6F20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DC" w:rsidRDefault="009121EB">
    <w:pPr>
      <w:pStyle w:val="Pis"/>
    </w:pPr>
    <w:r w:rsidRPr="000A02DC">
      <w:rPr>
        <w:noProof/>
        <w:lang w:eastAsia="et-EE"/>
      </w:rPr>
      <w:drawing>
        <wp:inline distT="0" distB="0" distL="0" distR="0" wp14:anchorId="704BABCC" wp14:editId="220A9358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Pr="00CC514C">
      <w:rPr>
        <w:noProof/>
        <w:lang w:eastAsia="et-EE"/>
      </w:rPr>
      <w:drawing>
        <wp:inline distT="0" distB="0" distL="0" distR="0" wp14:anchorId="0AC34F8B" wp14:editId="01CF404C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2DC" w:rsidRDefault="00100540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0" w:rsidRDefault="000D6F2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60F"/>
    <w:multiLevelType w:val="hybridMultilevel"/>
    <w:tmpl w:val="4288C950"/>
    <w:lvl w:ilvl="0" w:tplc="042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61"/>
    <w:rsid w:val="00002CA7"/>
    <w:rsid w:val="00014EFF"/>
    <w:rsid w:val="00085D98"/>
    <w:rsid w:val="000907E5"/>
    <w:rsid w:val="000D6F20"/>
    <w:rsid w:val="00100540"/>
    <w:rsid w:val="00134179"/>
    <w:rsid w:val="001D69AD"/>
    <w:rsid w:val="0020727C"/>
    <w:rsid w:val="00303F7B"/>
    <w:rsid w:val="0037648F"/>
    <w:rsid w:val="00401152"/>
    <w:rsid w:val="00412946"/>
    <w:rsid w:val="00462AD1"/>
    <w:rsid w:val="00494691"/>
    <w:rsid w:val="004B4FF6"/>
    <w:rsid w:val="005100B6"/>
    <w:rsid w:val="00565B31"/>
    <w:rsid w:val="00647C75"/>
    <w:rsid w:val="006C4644"/>
    <w:rsid w:val="006F4BE8"/>
    <w:rsid w:val="00830E04"/>
    <w:rsid w:val="0086554E"/>
    <w:rsid w:val="008B5A0E"/>
    <w:rsid w:val="00903E08"/>
    <w:rsid w:val="009121EB"/>
    <w:rsid w:val="00947D3F"/>
    <w:rsid w:val="00951BB5"/>
    <w:rsid w:val="009523A5"/>
    <w:rsid w:val="00972FB2"/>
    <w:rsid w:val="00981D26"/>
    <w:rsid w:val="00A3437A"/>
    <w:rsid w:val="00AB0B3D"/>
    <w:rsid w:val="00BA38CA"/>
    <w:rsid w:val="00C20197"/>
    <w:rsid w:val="00C5192A"/>
    <w:rsid w:val="00C51FD0"/>
    <w:rsid w:val="00D621E1"/>
    <w:rsid w:val="00E23261"/>
    <w:rsid w:val="00E71E7B"/>
    <w:rsid w:val="00EC3FAC"/>
    <w:rsid w:val="00EF670F"/>
    <w:rsid w:val="00F12B7E"/>
    <w:rsid w:val="00F47DA5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F85A-5FCC-43EF-BE51-C10595A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2326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2326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E23261"/>
    <w:pPr>
      <w:ind w:left="720"/>
      <w:contextualSpacing/>
    </w:pPr>
  </w:style>
  <w:style w:type="table" w:styleId="Kontuurtabel">
    <w:name w:val="Table Grid"/>
    <w:basedOn w:val="Normaaltabel"/>
    <w:uiPriority w:val="59"/>
    <w:rsid w:val="00E2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E232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E2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23261"/>
  </w:style>
  <w:style w:type="paragraph" w:styleId="Jalus">
    <w:name w:val="footer"/>
    <w:basedOn w:val="Normaallaad"/>
    <w:link w:val="JalusMrk"/>
    <w:uiPriority w:val="99"/>
    <w:unhideWhenUsed/>
    <w:rsid w:val="000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D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e2.ru/b/684577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t-car.com/tuning/149-peretyazhka-sideniy-avtomobilya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ja.kuiv@tthk.e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rissa.svintsuk@tthk.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rnovato.ru/peretjazhka-salona-dverej-avtomobilja-kozhej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965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34</cp:revision>
  <dcterms:created xsi:type="dcterms:W3CDTF">2017-09-22T14:33:00Z</dcterms:created>
  <dcterms:modified xsi:type="dcterms:W3CDTF">2018-09-26T12:19:00Z</dcterms:modified>
</cp:coreProperties>
</file>