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12" w:rsidRDefault="00320112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KURSUSE </w:t>
      </w:r>
      <w:r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LÜHIANDMED</w:t>
      </w:r>
      <w:r w:rsidR="00BC08B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47510F" w:rsidRDefault="003471E9" w:rsidP="00EA2BAA">
      <w:pPr>
        <w:widowControl w:val="0"/>
        <w:shd w:val="clear" w:color="auto" w:fill="FFFFFF"/>
        <w:spacing w:before="226"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288" w:rsidRPr="0047510F" w:rsidRDefault="00A91B6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  <w:r w:rsidR="00692B18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(TTHK)</w:t>
            </w:r>
          </w:p>
        </w:tc>
      </w:tr>
      <w:tr w:rsidR="00054288" w:rsidRPr="0047510F" w:rsidTr="00210E66">
        <w:trPr>
          <w:trHeight w:val="415"/>
        </w:trPr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288" w:rsidRPr="009C5F51" w:rsidRDefault="00736049" w:rsidP="009C5F5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5F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CAD programmjoonestamine</w:t>
            </w:r>
            <w:r w:rsidR="009327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metallitöötlemispinkidel töötamiseks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BA28C4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475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täiendus</w:t>
            </w:r>
            <w:r w:rsidR="00E64724"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koolituse standardi</w:t>
            </w:r>
            <w:r w:rsidR="00BA28C4"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järgi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C005A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054288" w:rsidRPr="0047510F" w:rsidRDefault="00736049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metallitöötlus; ISCED 97 nr 521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054288" w:rsidRPr="0047510F" w:rsidRDefault="00DA699A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keel</w:t>
            </w:r>
            <w:r w:rsidR="009C5F5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, vene keel</w:t>
            </w:r>
          </w:p>
        </w:tc>
      </w:tr>
    </w:tbl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A2BAA" w:rsidRPr="00EA2BAA" w:rsidTr="009C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295DCE" w:rsidRPr="00BC08B8" w:rsidRDefault="00EF42B2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Sihtrühm ja selle kirjeldus</w:t>
            </w:r>
            <w:r w:rsidR="00295DCE"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 õppe alustamise nõuded</w:t>
            </w:r>
            <w:r w:rsidR="008A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8A41EF"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(ära märkida 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nii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milliste </w:t>
            </w:r>
            <w:r w:rsidR="00C005AE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eriala</w:t>
            </w:r>
            <w:r w:rsidR="008A41EF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oskuste</w:t>
            </w:r>
            <w:r w:rsidR="00C005AE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C005AE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haridustaseme või vanusegrupi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inimestele koolitus on mõeldud; kas ja millised </w:t>
            </w:r>
            <w:r w:rsidR="008A41EF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on nõuded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õpingute alustamiseks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ning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milline 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on </w:t>
            </w:r>
            <w:r w:rsidR="008A41EF"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optimaalne grupi suurus)</w:t>
            </w:r>
          </w:p>
          <w:p w:rsidR="00295DCE" w:rsidRPr="00BC08B8" w:rsidRDefault="00EF42B2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5DCE" w:rsidRDefault="006A1A31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Koolitus on mõeldud kesktaseme arvuti kasutamise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kogemuse ja metallitöötlemispinkidel metallide töötlemise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töökogemusega huvilistele, kes soovivad</w:t>
            </w:r>
            <w:r w:rsidR="00DE748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tehnilise joonestamise ning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CAD joonestusprogrammidega töötamisel oma teoreetilisi ja praktilisi oskusi täiendada tööturul konkurentsivõime tõstmiseks või omandada oskusi</w:t>
            </w:r>
            <w:r w:rsidR="009C5F5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metallitöötluse valdkonnas </w:t>
            </w:r>
            <w:r w:rsidR="00525FF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tööturule sisenemiseks.</w:t>
            </w:r>
          </w:p>
          <w:p w:rsidR="009C5F51" w:rsidRDefault="009C5F51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Täiskasvanutele,  vanuses 24 - 50+ , soovituslik keskharidus.</w:t>
            </w:r>
          </w:p>
          <w:p w:rsidR="00AB09AF" w:rsidRPr="00320112" w:rsidRDefault="00AB09AF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Grupi suurus kuni 15 osalejat.  </w:t>
            </w:r>
          </w:p>
          <w:p w:rsidR="00EA2BAA" w:rsidRPr="00BC08B8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:rsidTr="000E01B9">
        <w:trPr>
          <w:trHeight w:hRule="exact" w:val="2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BC08B8" w:rsidRDefault="00C005AE" w:rsidP="00C005A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A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(e. õpitulemused, 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kirjeldatakse kompetentsidena, mis täpsustavad, millised teadmised, oskused ja hoiakud 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peab õppija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o</w:t>
            </w:r>
            <w:r w:rsidR="00AE0E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mandama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õppeprotsessi lõpuks)</w:t>
            </w:r>
          </w:p>
          <w:p w:rsidR="00320112" w:rsidRPr="00320112" w:rsidRDefault="009C5F51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Õppija oskab kasutada arvutit iseseisvalt graafilises keskkonnas masinprojekteerimisel kahe- ja kolmemõõtmeliste detailide ning konstruktsioonide töö- ja koostejooniste valmistamiseks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kitsenseeritud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tarkvara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vabavaralise tarkvara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SketshUp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kaasabil. Teab ja kasutab selleks EU joonestusalaseid standardeid ning juhendeid, tööjoonistel kasutatavaid tingmärke, sümboleid ja mõõtmete tähistusi</w:t>
            </w:r>
            <w:r w:rsidR="00B5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Oskab omandatud joonestusalaseid teadmisi kasutada masinprogrammide koostamisel detailide valmistamiseks.</w:t>
            </w:r>
          </w:p>
        </w:tc>
      </w:tr>
      <w:tr w:rsidR="00EA2BAA" w:rsidRPr="00EA2BAA" w:rsidTr="000E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C005AE" w:rsidRDefault="00C005AE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A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koolituse sihtrühma</w:t>
            </w:r>
            <w:r w:rsidR="00C11FB0"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ja õpiväljundite</w:t>
            </w:r>
            <w:r w:rsidRPr="00AE0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11FB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valiku osas</w:t>
            </w:r>
            <w:r w:rsidR="00C11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C0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A2BAA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01B9" w:rsidRPr="00BC08B8" w:rsidRDefault="000E01B9" w:rsidP="000E01B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sihtrühmaks on keskharidusega eesti või vene keelt kõnelevad isikud, kes soovivad uuendada/täiendada teadmisi masinprojekteerimisel. Kasuks tuleb automaatpinkidel töötamise kogemus.</w:t>
            </w:r>
          </w:p>
        </w:tc>
      </w:tr>
      <w:tr w:rsidR="00EA2BAA" w:rsidRPr="00EA2BAA" w:rsidTr="00860CA5">
        <w:trPr>
          <w:trHeight w:hRule="exact" w:val="2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F42B2" w:rsidRPr="00FB5139" w:rsidRDefault="00C11FB0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</w:t>
            </w:r>
            <w:r w:rsidR="00320112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piväljundi</w:t>
            </w: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="00295DCE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seos kutsestandardi või tasemeõppe õppekavaga</w:t>
            </w:r>
            <w:r w:rsid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F42B2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2B2" w:rsidRPr="00FB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FB51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tuua ära vastav kutsestandard ning </w:t>
            </w:r>
            <w:r w:rsidR="00FB5139"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viide </w:t>
            </w:r>
            <w:r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konkreetse</w:t>
            </w:r>
            <w:r w:rsidR="00FB5139"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tele</w:t>
            </w:r>
            <w:r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kompetents</w:t>
            </w:r>
            <w:r w:rsidR="00FB5139"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idele, mida koolitusega saavutatakse</w:t>
            </w:r>
            <w:r w:rsidRPr="001524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84C17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Kutsestandard: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Kutsestandardi tähis: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16-17102012-3.4/4k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Arvuti kasutamise oskused.</w:t>
            </w:r>
          </w:p>
          <w:p w:rsidR="00E84C17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Õppekava: Mehaanika ja metallitöötluse erialade riiklik õppekava. Määrus. Vastu võetud 28.09.2015 nr 44, 2pt 2. APJ lehtmetalli töötlemispinkide operaator.</w:t>
            </w:r>
          </w:p>
          <w:p w:rsidR="00E84C17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2030B" w:rsidRPr="00BC08B8" w:rsidRDefault="00E84C17" w:rsidP="00E84C17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Saavutatavad kompetentsid: Masinprojekteerimise oskused automaatpinkide tööprogrammide koostamiseks.</w:t>
            </w:r>
          </w:p>
        </w:tc>
      </w:tr>
    </w:tbl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0112" w:rsidRPr="0047510F" w:rsidTr="00320112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BC08B8" w:rsidRPr="0047510F" w:rsidRDefault="00AB6421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80</w:t>
            </w:r>
          </w:p>
        </w:tc>
      </w:tr>
      <w:tr w:rsidR="00320112" w:rsidRPr="0047510F" w:rsidTr="00320112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Kontaktõppe maht akadeemilistes tundides:</w:t>
            </w:r>
          </w:p>
        </w:tc>
        <w:tc>
          <w:tcPr>
            <w:tcW w:w="709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320112" w:rsidRPr="0047510F" w:rsidTr="00FD2330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709" w:type="dxa"/>
          </w:tcPr>
          <w:p w:rsidR="00BC08B8" w:rsidRPr="0047510F" w:rsidRDefault="00AB6421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320112" w:rsidRPr="0047510F" w:rsidTr="00FD2330">
        <w:trPr>
          <w:trHeight w:val="438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BC08B8" w:rsidRPr="0047510F" w:rsidRDefault="00AB6421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320112" w:rsidRPr="0047510F" w:rsidTr="00320112">
        <w:tc>
          <w:tcPr>
            <w:tcW w:w="7763" w:type="dxa"/>
          </w:tcPr>
          <w:p w:rsidR="00BC08B8" w:rsidRPr="0047510F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</w:p>
        </w:tc>
        <w:tc>
          <w:tcPr>
            <w:tcW w:w="709" w:type="dxa"/>
          </w:tcPr>
          <w:p w:rsidR="00BC08B8" w:rsidRPr="0047510F" w:rsidRDefault="00B06565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B86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FB73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6F54F5" w:rsidRPr="00CF39C5" w:rsidRDefault="00692B1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F39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F6437B" w:rsidRPr="00CF39C5" w:rsidRDefault="00CF39C5" w:rsidP="00F6437B">
            <w:pPr>
              <w:pStyle w:val="SK1"/>
              <w:numPr>
                <w:ilvl w:val="0"/>
                <w:numId w:val="4"/>
              </w:numPr>
              <w:spacing w:after="0"/>
              <w:ind w:left="708"/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t-EE"/>
              </w:rPr>
            </w:pPr>
            <w:r w:rsidRPr="00CF39C5">
              <w:rPr>
                <w:i w:val="0"/>
              </w:rPr>
              <w:t xml:space="preserve">Tehniline joonestamine: </w:t>
            </w:r>
            <w:hyperlink r:id="rId7" w:anchor="_Toc384990806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Geomeetriline joonestamine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8" w:anchor="_Toc384990807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Kujutised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9" w:anchor="_Toc384990808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Mõõtmestamine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0" w:anchor="_Toc384990809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Keermed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1" w:anchor="_Toc384990810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Masinaelementide kujutamine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2" w:anchor="_Toc384990811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Selgitavate andmete märkimine joonisele</w:t>
              </w:r>
            </w:hyperlink>
            <w:r w:rsidR="00F6437B" w:rsidRPr="00CF39C5">
              <w:rPr>
                <w:i w:val="0"/>
              </w:rPr>
              <w:t xml:space="preserve">; </w:t>
            </w:r>
            <w:hyperlink r:id="rId13" w:anchor="_Toc384990812" w:history="1">
              <w:r w:rsidR="00F6437B" w:rsidRPr="00CF39C5">
                <w:rPr>
                  <w:rStyle w:val="Hperlink"/>
                  <w:i w:val="0"/>
                  <w:color w:val="000000" w:themeColor="text1"/>
                  <w:u w:val="none"/>
                </w:rPr>
                <w:t>Koostejoonis ja tükitabel</w:t>
              </w:r>
            </w:hyperlink>
            <w:r w:rsidR="00692B18" w:rsidRPr="00CF39C5">
              <w:rPr>
                <w:i w:val="0"/>
              </w:rPr>
              <w:t>;</w:t>
            </w:r>
            <w:r w:rsidR="00674CAD" w:rsidRPr="00CF39C5">
              <w:rPr>
                <w:i w:val="0"/>
              </w:rPr>
              <w:t xml:space="preserve"> </w:t>
            </w:r>
          </w:p>
          <w:p w:rsidR="00F6437B" w:rsidRPr="00692B18" w:rsidRDefault="000C209F" w:rsidP="00674CAD">
            <w:pPr>
              <w:pStyle w:val="SK1"/>
              <w:spacing w:after="0"/>
              <w:ind w:left="708"/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t-EE"/>
              </w:rPr>
            </w:pPr>
            <w:hyperlink r:id="rId14" w:anchor="_Toc384990813" w:history="1">
              <w:r w:rsidR="00CF39C5" w:rsidRPr="00CF39C5">
                <w:rPr>
                  <w:rStyle w:val="Hperlink"/>
                  <w:i w:val="0"/>
                  <w:color w:val="000000" w:themeColor="text1"/>
                  <w:u w:val="none"/>
                  <w:lang w:val="en-US"/>
                </w:rPr>
                <w:t>Istud,</w:t>
              </w:r>
            </w:hyperlink>
            <w:r w:rsidR="00CF39C5" w:rsidRPr="00CF39C5">
              <w:rPr>
                <w:i w:val="0"/>
              </w:rPr>
              <w:t xml:space="preserve"> tolerantsid ja tehniline mõõtmine</w:t>
            </w:r>
            <w:r w:rsidR="00F6437B" w:rsidRPr="00CF39C5">
              <w:rPr>
                <w:i w:val="0"/>
              </w:rPr>
              <w:t>:</w:t>
            </w:r>
            <w:r w:rsidR="00F6437B" w:rsidRPr="00F6437B">
              <w:rPr>
                <w:i w:val="0"/>
              </w:rPr>
              <w:t xml:space="preserve"> </w:t>
            </w:r>
            <w:hyperlink r:id="rId15" w:anchor="_Toc384990814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Põhimõisted</w:t>
              </w:r>
            </w:hyperlink>
            <w:r w:rsidR="00F6437B" w:rsidRPr="00F6437B">
              <w:rPr>
                <w:i w:val="0"/>
              </w:rPr>
              <w:t xml:space="preserve">; </w:t>
            </w:r>
            <w:hyperlink r:id="rId16" w:anchor="_Toc384990815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Mõõte- ja kontrollriistad</w:t>
              </w:r>
            </w:hyperlink>
            <w:r w:rsidR="00F6437B" w:rsidRPr="00F6437B">
              <w:rPr>
                <w:i w:val="0"/>
              </w:rPr>
              <w:t xml:space="preserve">; </w:t>
            </w:r>
            <w:hyperlink r:id="rId17" w:anchor="_Toc384990816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Pinna kuju</w:t>
              </w:r>
              <w:r w:rsidR="00F6437B" w:rsidRPr="00F6437B">
                <w:rPr>
                  <w:rStyle w:val="Hperlink"/>
                  <w:rFonts w:ascii="Cambria Math" w:hAnsi="Cambria Math" w:cs="Cambria Math"/>
                  <w:i w:val="0"/>
                  <w:color w:val="000000" w:themeColor="text1"/>
                  <w:u w:val="none"/>
                </w:rPr>
                <w:t>‐</w:t>
              </w:r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 xml:space="preserve"> ja asendihälbed; Pinnakaredus</w:t>
              </w:r>
            </w:hyperlink>
            <w:r w:rsidR="00F6437B" w:rsidRPr="00F6437B">
              <w:rPr>
                <w:i w:val="0"/>
              </w:rPr>
              <w:t xml:space="preserve">; </w:t>
            </w:r>
            <w:hyperlink r:id="rId18" w:anchor="_Toc384990817" w:history="1">
              <w:r w:rsidR="00F6437B" w:rsidRPr="00F6437B">
                <w:rPr>
                  <w:rStyle w:val="Hperlink"/>
                  <w:i w:val="0"/>
                  <w:color w:val="000000" w:themeColor="text1"/>
                  <w:u w:val="none"/>
                </w:rPr>
                <w:t>Erinevate liidete tolerantsid ja istud</w:t>
              </w:r>
            </w:hyperlink>
            <w:r w:rsidR="00692B18">
              <w:rPr>
                <w:i w:val="0"/>
              </w:rPr>
              <w:t>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Erinevate CAD joonestusprogrammide tööpõhimõtete ja kasutamiskeskkondade olemus, nõuded CAD programmide installeerimiseks ja kasutamiseks;</w:t>
            </w:r>
          </w:p>
          <w:p w:rsidR="006F54F5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Tööohutus arvutiga töötamisel (TTHK Õppekorralduseeskirja Lisa 9);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Joonistel olemasoleva informatsiooni kasutamine masinprojekteerimiseks, tarkvarapaketi kasutajaliidesed;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Jooniste vormistamine, vormindamine, SNAP seadistamine;</w:t>
            </w:r>
          </w:p>
          <w:p w:rsidR="00692B18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2D jooniste modifitseerimine, objektid, objektidega opereerimine, massiivi kasutamine;</w:t>
            </w:r>
          </w:p>
          <w:p w:rsidR="00692B18" w:rsidRPr="00674CAD" w:rsidRDefault="00692B18" w:rsidP="00674CA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3D mõõtelised mudelid ja massiivi kasutamine.</w:t>
            </w:r>
          </w:p>
          <w:p w:rsidR="006F54F5" w:rsidRDefault="00692B1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Praktiliste tööde lühikirjeldused:</w:t>
            </w:r>
          </w:p>
          <w:p w:rsidR="00692B18" w:rsidRPr="00F76C14" w:rsidRDefault="00F76C14" w:rsidP="00F76C14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Erineva keerukusega jooniste koostamine etteantud eskiiside ja valmisdetailide alusel kasutades CAD programmi.</w:t>
            </w:r>
          </w:p>
          <w:p w:rsidR="006F54F5" w:rsidRPr="00BC08B8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DA3FF8">
        <w:trPr>
          <w:trHeight w:hRule="exact" w:val="2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6F54F5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-kriteeriumid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(nõutav </w:t>
            </w:r>
            <w:r w:rsidR="00BC08B8"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õpiväljundite saavutamise hindamine </w:t>
            </w:r>
            <w:r w:rsid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ja 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vähemalt </w:t>
            </w:r>
            <w:r w:rsidR="00B42F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7</w:t>
            </w:r>
            <w:r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0% õppekava läbimine)</w:t>
            </w:r>
          </w:p>
          <w:p w:rsidR="006F54F5" w:rsidRDefault="00DA3FF8" w:rsidP="00B86B43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Kirjalik test, mis hõlmab kõiki läbitud teemasid – Test loetakse sooritatuks kui õigete vastuste osatähtsus moodustab vähemalt 60%. Lõpphindamisest moodustab test 50%.</w:t>
            </w:r>
          </w:p>
          <w:p w:rsidR="00DA3FF8" w:rsidRDefault="00DA3FF8" w:rsidP="00B86B43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Praktiline töö – loetakse sooritatuks kui on joonestatud detail CAD programmiga etteantud eskiisilahenduse alusel ja ei esine joonisel üle kolme (3) pisivea. Lõpphindamisest moodustab praktiline töö 50%.</w:t>
            </w:r>
          </w:p>
          <w:p w:rsidR="00DA3FF8" w:rsidRPr="00DA3FF8" w:rsidRDefault="00DA3FF8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Osalejale väljastatakse tunnistus kursuse läbimise kohta kui on  sooritatud  kirjalik test ja praktiline töö vastavalt etteantud tingimustele</w:t>
            </w:r>
            <w:r w:rsidR="00A314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ning osalus koolitusest 70% kogumahust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Mittesooritajatele väljastatakse tõend.</w:t>
            </w:r>
          </w:p>
          <w:p w:rsidR="006F54F5" w:rsidRPr="00BC08B8" w:rsidRDefault="006F54F5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F54F5" w:rsidRPr="00BC08B8" w:rsidRDefault="006F54F5" w:rsidP="00B86B43">
      <w:pPr>
        <w:pStyle w:val="Loendilik"/>
        <w:widowControl w:val="0"/>
        <w:numPr>
          <w:ilvl w:val="0"/>
          <w:numId w:val="2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B86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320112" w:rsidP="00B86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 </w:t>
            </w:r>
            <w:r w:rsidR="006F54F5" w:rsidRPr="00BC08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(ees- ja perenimi, e-mail; kursuse läbiviimiseks vajalikku kompetentsust näitav kvalifikatsioon või kompetentsi näitava õpi- või töökogemuse kirjeldus)</w:t>
            </w:r>
            <w:r w:rsidR="006F54F5" w:rsidRPr="00BC0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F54F5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Edgar Hansen: </w:t>
            </w:r>
            <w:r w:rsidR="00147B8F" w:rsidRPr="00147B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Tšeljabinski Polütehniline Instituut 1970</w:t>
            </w:r>
            <w:r w:rsidR="007849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hyperlink r:id="rId19" w:history="1">
              <w:r w:rsidRPr="00DA3FF8">
                <w:rPr>
                  <w:rStyle w:val="Hperlink"/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>edgar.hansen@tthk.ee</w:t>
              </w:r>
            </w:hyperlink>
            <w:r w:rsidRPr="00DA3FF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  <w:r w:rsidR="00F2767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TTHK-s erialaõpetaja alates 2002 a.</w:t>
            </w:r>
          </w:p>
          <w:p w:rsidR="00DA3FF8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Aleksei Saareväli: </w:t>
            </w:r>
            <w:hyperlink r:id="rId20" w:history="1">
              <w:r w:rsidRPr="00DA3FF8">
                <w:rPr>
                  <w:rStyle w:val="Hperlink"/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</w:rPr>
                <w:t>aleksei.saareväli@tthk.ee</w:t>
              </w:r>
            </w:hyperlink>
            <w:r w:rsidRPr="00DA3FF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  <w:r w:rsidR="007B255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praktilist tööstaaži 1</w:t>
            </w:r>
            <w:r w:rsidR="00F56E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  <w:bookmarkStart w:id="0" w:name="_GoBack"/>
            <w:bookmarkEnd w:id="0"/>
            <w:r w:rsidR="007B255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aastat;  kutseõpetajana ja täiskasvanute koolitajana TTHK-s alates 2010. Lõpetatud EKS 2005 a.</w:t>
            </w:r>
          </w:p>
          <w:p w:rsidR="001508A0" w:rsidRDefault="001508A0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DA3FF8" w:rsidRPr="00DA3FF8" w:rsidRDefault="00DA3FF8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A2BAA" w:rsidRPr="00BC08B8" w:rsidRDefault="00FB7343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9905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Rein Pikner,</w:t>
      </w:r>
      <w:r w:rsidR="009905E3" w:rsidRPr="005F588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metallitöö valdkonna juht, </w:t>
      </w:r>
      <w:hyperlink r:id="rId21" w:history="1">
        <w:r w:rsidR="009905E3" w:rsidRPr="005F588D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rein.pikner@tthk.ee</w:t>
        </w:r>
      </w:hyperlink>
      <w:r w:rsidR="00EA2BAA" w:rsidRPr="00BC08B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</w:p>
    <w:sectPr w:rsidR="00EA2BAA" w:rsidRPr="00BC08B8" w:rsidSect="002573E7">
      <w:headerReference w:type="default" r:id="rId22"/>
      <w:footerReference w:type="default" r:id="rId23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9F" w:rsidRDefault="000C209F">
      <w:pPr>
        <w:spacing w:after="0" w:line="240" w:lineRule="auto"/>
      </w:pPr>
      <w:r>
        <w:separator/>
      </w:r>
    </w:p>
  </w:endnote>
  <w:endnote w:type="continuationSeparator" w:id="0">
    <w:p w:rsidR="000C209F" w:rsidRDefault="000C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9F" w:rsidRDefault="000C209F">
      <w:pPr>
        <w:spacing w:after="0" w:line="240" w:lineRule="auto"/>
      </w:pPr>
      <w:r>
        <w:separator/>
      </w:r>
    </w:p>
  </w:footnote>
  <w:footnote w:type="continuationSeparator" w:id="0">
    <w:p w:rsidR="000C209F" w:rsidRDefault="000C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93231"/>
    <w:rsid w:val="000C209F"/>
    <w:rsid w:val="000D656A"/>
    <w:rsid w:val="000E01B9"/>
    <w:rsid w:val="00141C83"/>
    <w:rsid w:val="00147B8F"/>
    <w:rsid w:val="001508A0"/>
    <w:rsid w:val="00152422"/>
    <w:rsid w:val="00210E66"/>
    <w:rsid w:val="00243A56"/>
    <w:rsid w:val="00261874"/>
    <w:rsid w:val="00295DCE"/>
    <w:rsid w:val="002E578D"/>
    <w:rsid w:val="00320112"/>
    <w:rsid w:val="003356F0"/>
    <w:rsid w:val="003471E9"/>
    <w:rsid w:val="003C79A1"/>
    <w:rsid w:val="00405675"/>
    <w:rsid w:val="00450E7B"/>
    <w:rsid w:val="0047510F"/>
    <w:rsid w:val="004E19F7"/>
    <w:rsid w:val="004E4641"/>
    <w:rsid w:val="00525FFF"/>
    <w:rsid w:val="00585B84"/>
    <w:rsid w:val="005F588D"/>
    <w:rsid w:val="006259FE"/>
    <w:rsid w:val="006505D4"/>
    <w:rsid w:val="0065336F"/>
    <w:rsid w:val="00674CAD"/>
    <w:rsid w:val="006848AE"/>
    <w:rsid w:val="00692B18"/>
    <w:rsid w:val="006A1A31"/>
    <w:rsid w:val="006D39F9"/>
    <w:rsid w:val="006F54F5"/>
    <w:rsid w:val="0071626A"/>
    <w:rsid w:val="00736049"/>
    <w:rsid w:val="00743734"/>
    <w:rsid w:val="00764F20"/>
    <w:rsid w:val="007849AB"/>
    <w:rsid w:val="007A1FD3"/>
    <w:rsid w:val="007A7BA9"/>
    <w:rsid w:val="007B2559"/>
    <w:rsid w:val="00860CA5"/>
    <w:rsid w:val="008771BD"/>
    <w:rsid w:val="008A41EF"/>
    <w:rsid w:val="008C6D33"/>
    <w:rsid w:val="0093277A"/>
    <w:rsid w:val="00954B7B"/>
    <w:rsid w:val="00961477"/>
    <w:rsid w:val="009905E3"/>
    <w:rsid w:val="009C5F51"/>
    <w:rsid w:val="009E3A49"/>
    <w:rsid w:val="009E4EA4"/>
    <w:rsid w:val="00A31458"/>
    <w:rsid w:val="00A61BD5"/>
    <w:rsid w:val="00A91B64"/>
    <w:rsid w:val="00AA1FDA"/>
    <w:rsid w:val="00AB09AF"/>
    <w:rsid w:val="00AB6421"/>
    <w:rsid w:val="00AE0E12"/>
    <w:rsid w:val="00AF64B5"/>
    <w:rsid w:val="00B06565"/>
    <w:rsid w:val="00B2030B"/>
    <w:rsid w:val="00B42FEB"/>
    <w:rsid w:val="00B53ED0"/>
    <w:rsid w:val="00B66074"/>
    <w:rsid w:val="00B86B43"/>
    <w:rsid w:val="00BA28C4"/>
    <w:rsid w:val="00BC08B8"/>
    <w:rsid w:val="00BF0754"/>
    <w:rsid w:val="00C005AE"/>
    <w:rsid w:val="00C11FB0"/>
    <w:rsid w:val="00C16EBD"/>
    <w:rsid w:val="00CF39C5"/>
    <w:rsid w:val="00D05F6F"/>
    <w:rsid w:val="00D510A9"/>
    <w:rsid w:val="00DA3FF8"/>
    <w:rsid w:val="00DA699A"/>
    <w:rsid w:val="00DE7487"/>
    <w:rsid w:val="00E05523"/>
    <w:rsid w:val="00E30938"/>
    <w:rsid w:val="00E436F8"/>
    <w:rsid w:val="00E64724"/>
    <w:rsid w:val="00E80B62"/>
    <w:rsid w:val="00E821CC"/>
    <w:rsid w:val="00E84C17"/>
    <w:rsid w:val="00EA2BAA"/>
    <w:rsid w:val="00EB6F1F"/>
    <w:rsid w:val="00EF42B2"/>
    <w:rsid w:val="00F27679"/>
    <w:rsid w:val="00F56EED"/>
    <w:rsid w:val="00F6437B"/>
    <w:rsid w:val="00F76C14"/>
    <w:rsid w:val="00FB5139"/>
    <w:rsid w:val="00FB7343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C86D5-A9BB-4AD2-847D-546C6DF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578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perlink">
    <w:name w:val="Hyperlink"/>
    <w:basedOn w:val="Liguvaikefont"/>
    <w:uiPriority w:val="99"/>
    <w:unhideWhenUsed/>
    <w:rsid w:val="009905E3"/>
    <w:rPr>
      <w:color w:val="0000FF" w:themeColor="hyperlink"/>
      <w:u w:val="single"/>
    </w:rPr>
  </w:style>
  <w:style w:type="paragraph" w:styleId="SK1">
    <w:name w:val="toc 1"/>
    <w:basedOn w:val="Normaallaad"/>
    <w:next w:val="Normaallaad"/>
    <w:autoRedefine/>
    <w:uiPriority w:val="39"/>
    <w:unhideWhenUsed/>
    <w:rsid w:val="00F6437B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i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ka.valk\Desktop\320%20h%20sept.2014-veebr.%202015\Lisa%202%20Pakkumuse%20vorm\Lisa%202%20PAKKUMUS.docx" TargetMode="External"/><Relationship Id="rId13" Type="http://schemas.openxmlformats.org/officeDocument/2006/relationships/hyperlink" Target="file:///C:\Users\marika.valk\Desktop\320%20h%20sept.2014-veebr.%202015\Lisa%202%20Pakkumuse%20vorm\Lisa%202%20PAKKUMUS.docx" TargetMode="External"/><Relationship Id="rId18" Type="http://schemas.openxmlformats.org/officeDocument/2006/relationships/hyperlink" Target="file:///C:\Users\marika.valk\Desktop\320%20h%20sept.2014-veebr.%202015\Lisa%202%20Pakkumuse%20vorm\Lisa%202%20PAKKUMU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in.pikner@tthk.ee" TargetMode="External"/><Relationship Id="rId7" Type="http://schemas.openxmlformats.org/officeDocument/2006/relationships/hyperlink" Target="file:///C:\Users\marika.valk\Desktop\320%20h%20sept.2014-veebr.%202015\Lisa%202%20Pakkumuse%20vorm\Lisa%202%20PAKKUMUS.docx" TargetMode="External"/><Relationship Id="rId12" Type="http://schemas.openxmlformats.org/officeDocument/2006/relationships/hyperlink" Target="file:///C:\Users\marika.valk\Desktop\320%20h%20sept.2014-veebr.%202015\Lisa%202%20Pakkumuse%20vorm\Lisa%202%20PAKKUMUS.docx" TargetMode="External"/><Relationship Id="rId17" Type="http://schemas.openxmlformats.org/officeDocument/2006/relationships/hyperlink" Target="file:///C:\Users\marika.valk\Desktop\320%20h%20sept.2014-veebr.%202015\Lisa%202%20Pakkumuse%20vorm\Lisa%202%20PAKKUMUS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marika.valk\Desktop\320%20h%20sept.2014-veebr.%202015\Lisa%202%20Pakkumuse%20vorm\Lisa%202%20PAKKUMUS.docx" TargetMode="External"/><Relationship Id="rId20" Type="http://schemas.openxmlformats.org/officeDocument/2006/relationships/hyperlink" Target="mailto:aleksei.saarev&#228;li@tthk.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rika.valk\Desktop\320%20h%20sept.2014-veebr.%202015\Lisa%202%20Pakkumuse%20vorm\Lisa%202%20PAKKUMUS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marika.valk\Desktop\320%20h%20sept.2014-veebr.%202015\Lisa%202%20Pakkumuse%20vorm\Lisa%202%20PAKKUMUS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marika.valk\Desktop\320%20h%20sept.2014-veebr.%202015\Lisa%202%20Pakkumuse%20vorm\Lisa%202%20PAKKUMUS.docx" TargetMode="External"/><Relationship Id="rId19" Type="http://schemas.openxmlformats.org/officeDocument/2006/relationships/hyperlink" Target="mailto:edgar.hansen@tth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ika.valk\Desktop\320%20h%20sept.2014-veebr.%202015\Lisa%202%20Pakkumuse%20vorm\Lisa%202%20PAKKUMUS.docx" TargetMode="External"/><Relationship Id="rId14" Type="http://schemas.openxmlformats.org/officeDocument/2006/relationships/hyperlink" Target="file:///C:\Users\marika.valk\Desktop\320%20h%20sept.2014-veebr.%202015\Lisa%202%20Pakkumuse%20vorm\Lisa%202%20PAKKUMUS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1106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6</cp:revision>
  <cp:lastPrinted>2015-12-04T12:25:00Z</cp:lastPrinted>
  <dcterms:created xsi:type="dcterms:W3CDTF">2018-04-26T07:23:00Z</dcterms:created>
  <dcterms:modified xsi:type="dcterms:W3CDTF">2018-10-01T06:03:00Z</dcterms:modified>
</cp:coreProperties>
</file>